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D26770" w14:textId="28AA0AA5" w:rsidR="002066FE" w:rsidRPr="00483285" w:rsidRDefault="002066FE" w:rsidP="002066FE">
      <w:pPr>
        <w:autoSpaceDE w:val="0"/>
        <w:autoSpaceDN w:val="0"/>
        <w:adjustRightInd w:val="0"/>
        <w:spacing w:after="0" w:line="240" w:lineRule="auto"/>
        <w:rPr>
          <w:rFonts w:ascii="Times New Roman" w:hAnsi="Times New Roman" w:cs="Times New Roman"/>
          <w:sz w:val="36"/>
          <w:szCs w:val="36"/>
          <w:lang w:val="en-US"/>
        </w:rPr>
      </w:pPr>
      <w:bookmarkStart w:id="0" w:name="_GoBack"/>
      <w:bookmarkEnd w:id="0"/>
      <w:r w:rsidRPr="00483285">
        <w:rPr>
          <w:rFonts w:ascii="Times New Roman" w:hAnsi="Times New Roman" w:cs="Times New Roman"/>
          <w:sz w:val="36"/>
          <w:szCs w:val="36"/>
          <w:lang w:val="en-US"/>
        </w:rPr>
        <w:t xml:space="preserve">Supplementary </w:t>
      </w:r>
      <w:r w:rsidR="005E6FBE" w:rsidRPr="00483285">
        <w:rPr>
          <w:rFonts w:ascii="Times New Roman" w:hAnsi="Times New Roman" w:cs="Times New Roman"/>
          <w:sz w:val="36"/>
          <w:szCs w:val="36"/>
          <w:lang w:val="en-US"/>
        </w:rPr>
        <w:t>Material</w:t>
      </w:r>
      <w:r w:rsidRPr="00483285">
        <w:rPr>
          <w:rFonts w:ascii="Times New Roman" w:hAnsi="Times New Roman" w:cs="Times New Roman"/>
          <w:sz w:val="36"/>
          <w:szCs w:val="36"/>
          <w:lang w:val="en-US"/>
        </w:rPr>
        <w:t xml:space="preserve"> </w:t>
      </w:r>
      <w:r w:rsidR="00B51DBF">
        <w:rPr>
          <w:rFonts w:ascii="Times New Roman" w:hAnsi="Times New Roman" w:cs="Times New Roman"/>
          <w:sz w:val="36"/>
          <w:szCs w:val="36"/>
          <w:lang w:val="en-US"/>
        </w:rPr>
        <w:t>3</w:t>
      </w:r>
      <w:r w:rsidR="00FD3429" w:rsidRPr="00483285">
        <w:rPr>
          <w:rFonts w:ascii="Times New Roman" w:hAnsi="Times New Roman" w:cs="Times New Roman"/>
          <w:sz w:val="36"/>
          <w:szCs w:val="36"/>
          <w:lang w:val="en-US"/>
        </w:rPr>
        <w:t xml:space="preserve"> </w:t>
      </w:r>
      <w:r w:rsidRPr="00483285">
        <w:rPr>
          <w:rFonts w:ascii="Times New Roman" w:hAnsi="Times New Roman" w:cs="Times New Roman"/>
          <w:sz w:val="36"/>
          <w:szCs w:val="36"/>
          <w:lang w:val="en-US"/>
        </w:rPr>
        <w:t>for</w:t>
      </w:r>
    </w:p>
    <w:p w14:paraId="1BD70EA7" w14:textId="77777777" w:rsidR="003608D5" w:rsidRPr="00483285" w:rsidRDefault="003608D5" w:rsidP="002066FE">
      <w:pPr>
        <w:autoSpaceDE w:val="0"/>
        <w:autoSpaceDN w:val="0"/>
        <w:adjustRightInd w:val="0"/>
        <w:spacing w:after="0" w:line="240" w:lineRule="auto"/>
        <w:rPr>
          <w:rFonts w:ascii="Times New Roman" w:hAnsi="Times New Roman" w:cs="Times New Roman"/>
          <w:sz w:val="36"/>
          <w:szCs w:val="36"/>
          <w:lang w:val="en-US"/>
        </w:rPr>
      </w:pPr>
    </w:p>
    <w:p w14:paraId="53536D5A" w14:textId="18BDE7C1" w:rsidR="008B28B6" w:rsidRPr="00483285" w:rsidRDefault="004F199F" w:rsidP="008B28B6">
      <w:pPr>
        <w:pStyle w:val="MDPI12title"/>
        <w:rPr>
          <w:rFonts w:ascii="Times New Roman" w:hAnsi="Times New Roman"/>
        </w:rPr>
      </w:pPr>
      <w:r w:rsidRPr="004F199F">
        <w:rPr>
          <w:rFonts w:ascii="Times New Roman" w:hAnsi="Times New Roman"/>
          <w:b w:val="0"/>
        </w:rPr>
        <w:t>Growth and actual leaf temperature modulate CO</w:t>
      </w:r>
      <w:r w:rsidRPr="004F199F">
        <w:rPr>
          <w:rFonts w:ascii="Times New Roman" w:hAnsi="Times New Roman"/>
          <w:b w:val="0"/>
          <w:vertAlign w:val="subscript"/>
        </w:rPr>
        <w:t>2</w:t>
      </w:r>
      <w:r w:rsidRPr="004F199F">
        <w:rPr>
          <w:rFonts w:ascii="Times New Roman" w:hAnsi="Times New Roman"/>
          <w:b w:val="0"/>
        </w:rPr>
        <w:t>-responsiveness of monoterpene emissions from Holm oak in opposite ways</w:t>
      </w:r>
    </w:p>
    <w:p w14:paraId="4296E964" w14:textId="3F4CFD39" w:rsidR="008B28B6" w:rsidRPr="00483285" w:rsidRDefault="00A81E3C" w:rsidP="008B28B6">
      <w:pPr>
        <w:pStyle w:val="MDPI13authornames"/>
        <w:rPr>
          <w:rFonts w:ascii="Times New Roman" w:hAnsi="Times New Roman"/>
          <w:lang w:val="de-DE"/>
        </w:rPr>
      </w:pPr>
      <w:r w:rsidRPr="00483285">
        <w:rPr>
          <w:rFonts w:ascii="Times New Roman" w:hAnsi="Times New Roman"/>
          <w:lang w:val="de-DE"/>
        </w:rPr>
        <w:t>Michael Staudt</w:t>
      </w:r>
      <w:proofErr w:type="gramStart"/>
      <w:r w:rsidRPr="00483285">
        <w:rPr>
          <w:rFonts w:ascii="Times New Roman" w:hAnsi="Times New Roman"/>
          <w:vertAlign w:val="superscript"/>
          <w:lang w:val="de-DE"/>
        </w:rPr>
        <w:t>1,</w:t>
      </w:r>
      <w:r w:rsidRPr="00483285">
        <w:rPr>
          <w:rFonts w:ascii="Times New Roman" w:hAnsi="Times New Roman"/>
          <w:lang w:val="de-DE"/>
        </w:rPr>
        <w:t>*</w:t>
      </w:r>
      <w:proofErr w:type="gramEnd"/>
      <w:r w:rsidRPr="00483285">
        <w:rPr>
          <w:rFonts w:ascii="Times New Roman" w:hAnsi="Times New Roman"/>
          <w:lang w:val="de-DE"/>
        </w:rPr>
        <w:t xml:space="preserve"> Juliane Daussy</w:t>
      </w:r>
      <w:r w:rsidR="006E5120" w:rsidRPr="00483285">
        <w:rPr>
          <w:rFonts w:ascii="Times New Roman" w:hAnsi="Times New Roman"/>
          <w:vertAlign w:val="superscript"/>
          <w:lang w:val="de-DE"/>
        </w:rPr>
        <w:t>1</w:t>
      </w:r>
      <w:r w:rsidRPr="00483285">
        <w:rPr>
          <w:rFonts w:ascii="Times New Roman" w:hAnsi="Times New Roman"/>
          <w:lang w:val="de-DE"/>
        </w:rPr>
        <w:t>, Joseph Ingabire</w:t>
      </w:r>
      <w:r w:rsidR="006E5120" w:rsidRPr="00483285">
        <w:rPr>
          <w:rFonts w:ascii="Times New Roman" w:hAnsi="Times New Roman"/>
          <w:vertAlign w:val="superscript"/>
          <w:lang w:val="de-DE"/>
        </w:rPr>
        <w:t>1</w:t>
      </w:r>
      <w:r w:rsidRPr="00483285">
        <w:rPr>
          <w:rFonts w:ascii="Times New Roman" w:hAnsi="Times New Roman"/>
          <w:lang w:val="de-DE"/>
        </w:rPr>
        <w:t xml:space="preserve">, </w:t>
      </w:r>
      <w:r w:rsidR="008B28B6" w:rsidRPr="00483285">
        <w:rPr>
          <w:rFonts w:ascii="Times New Roman" w:hAnsi="Times New Roman"/>
          <w:lang w:val="de-DE"/>
        </w:rPr>
        <w:t>Nafissa Dehimeche</w:t>
      </w:r>
      <w:r w:rsidR="006E5120" w:rsidRPr="00483285">
        <w:rPr>
          <w:rFonts w:ascii="Times New Roman" w:hAnsi="Times New Roman"/>
          <w:vertAlign w:val="superscript"/>
          <w:lang w:val="de-DE"/>
        </w:rPr>
        <w:t>1</w:t>
      </w:r>
      <w:r w:rsidR="008B28B6" w:rsidRPr="00483285">
        <w:rPr>
          <w:rFonts w:ascii="Times New Roman" w:hAnsi="Times New Roman"/>
          <w:lang w:val="de-DE"/>
        </w:rPr>
        <w:t xml:space="preserve"> </w:t>
      </w:r>
    </w:p>
    <w:p w14:paraId="3284770C" w14:textId="5A88A5A2" w:rsidR="008B28B6" w:rsidRPr="00483285" w:rsidRDefault="008B28B6" w:rsidP="008B28B6">
      <w:pPr>
        <w:pStyle w:val="MDPI16affiliation"/>
        <w:rPr>
          <w:rFonts w:ascii="Times New Roman" w:hAnsi="Times New Roman"/>
        </w:rPr>
      </w:pPr>
      <w:r w:rsidRPr="00483285">
        <w:rPr>
          <w:rFonts w:ascii="Times New Roman" w:hAnsi="Times New Roman"/>
          <w:vertAlign w:val="superscript"/>
        </w:rPr>
        <w:t>1</w:t>
      </w:r>
      <w:r w:rsidRPr="00483285">
        <w:rPr>
          <w:rFonts w:ascii="Times New Roman" w:hAnsi="Times New Roman"/>
        </w:rPr>
        <w:tab/>
      </w:r>
      <w:r w:rsidR="007B6608" w:rsidRPr="00483285">
        <w:rPr>
          <w:rFonts w:ascii="Times New Roman" w:hAnsi="Times New Roman"/>
        </w:rPr>
        <w:t xml:space="preserve">CEFE, CNRS, EPHE, IRD, </w:t>
      </w:r>
      <w:proofErr w:type="spellStart"/>
      <w:r w:rsidR="007B6608" w:rsidRPr="00483285">
        <w:rPr>
          <w:rFonts w:ascii="Times New Roman" w:hAnsi="Times New Roman"/>
        </w:rPr>
        <w:t>Univ</w:t>
      </w:r>
      <w:proofErr w:type="spellEnd"/>
      <w:r w:rsidR="007B6608" w:rsidRPr="00483285">
        <w:rPr>
          <w:rFonts w:ascii="Times New Roman" w:hAnsi="Times New Roman"/>
        </w:rPr>
        <w:t xml:space="preserve"> Montpellier, Montpellier, France</w:t>
      </w:r>
    </w:p>
    <w:p w14:paraId="1ED7D969" w14:textId="151AA0E8" w:rsidR="008B28B6" w:rsidRPr="00483285" w:rsidRDefault="008B28B6" w:rsidP="00A81E3C">
      <w:pPr>
        <w:pStyle w:val="MDPI16affiliation"/>
        <w:ind w:left="0" w:firstLine="0"/>
        <w:rPr>
          <w:rFonts w:ascii="Times New Roman" w:hAnsi="Times New Roman"/>
        </w:rPr>
      </w:pPr>
    </w:p>
    <w:p w14:paraId="59BC40A6" w14:textId="445EE6B3" w:rsidR="008B28B6" w:rsidRPr="00483285" w:rsidRDefault="008B28B6" w:rsidP="008B28B6">
      <w:pPr>
        <w:pStyle w:val="MDPI16affiliation"/>
        <w:rPr>
          <w:rFonts w:ascii="Times New Roman" w:hAnsi="Times New Roman"/>
        </w:rPr>
      </w:pPr>
      <w:r w:rsidRPr="00483285">
        <w:rPr>
          <w:rFonts w:ascii="Times New Roman" w:hAnsi="Times New Roman"/>
        </w:rPr>
        <w:t>*</w:t>
      </w:r>
      <w:r w:rsidRPr="00483285">
        <w:rPr>
          <w:rFonts w:ascii="Times New Roman" w:hAnsi="Times New Roman"/>
        </w:rPr>
        <w:tab/>
        <w:t xml:space="preserve">Correspondence: </w:t>
      </w:r>
      <w:hyperlink r:id="rId8" w:history="1">
        <w:r w:rsidRPr="00483285">
          <w:rPr>
            <w:rStyle w:val="Lienhypertexte"/>
            <w:rFonts w:ascii="Times New Roman" w:hAnsi="Times New Roman"/>
            <w:color w:val="auto"/>
            <w:u w:val="none"/>
          </w:rPr>
          <w:t>michael.staudt@cefe.cnrs.fr</w:t>
        </w:r>
      </w:hyperlink>
      <w:r w:rsidRPr="00483285">
        <w:rPr>
          <w:rFonts w:ascii="Times New Roman" w:hAnsi="Times New Roman"/>
        </w:rPr>
        <w:t>; Tel.:</w:t>
      </w:r>
      <w:r w:rsidR="00096469" w:rsidRPr="00483285">
        <w:rPr>
          <w:rFonts w:ascii="Times New Roman" w:hAnsi="Times New Roman"/>
        </w:rPr>
        <w:t xml:space="preserve"> +33 467613272</w:t>
      </w:r>
    </w:p>
    <w:p w14:paraId="5E14A55E" w14:textId="77777777" w:rsidR="00882215" w:rsidRPr="00483285" w:rsidRDefault="00882215" w:rsidP="002066FE">
      <w:pPr>
        <w:autoSpaceDE w:val="0"/>
        <w:autoSpaceDN w:val="0"/>
        <w:adjustRightInd w:val="0"/>
        <w:spacing w:after="0" w:line="240" w:lineRule="auto"/>
        <w:rPr>
          <w:rFonts w:ascii="Times New Roman" w:hAnsi="Times New Roman" w:cs="Times New Roman"/>
          <w:b/>
          <w:bCs/>
          <w:sz w:val="24"/>
          <w:szCs w:val="24"/>
          <w:lang w:val="en-US"/>
        </w:rPr>
      </w:pPr>
    </w:p>
    <w:p w14:paraId="6F972900" w14:textId="77777777" w:rsidR="00261A81" w:rsidRPr="00483285" w:rsidRDefault="00261A81" w:rsidP="002066FE">
      <w:pPr>
        <w:autoSpaceDE w:val="0"/>
        <w:autoSpaceDN w:val="0"/>
        <w:adjustRightInd w:val="0"/>
        <w:spacing w:after="0" w:line="240" w:lineRule="auto"/>
        <w:rPr>
          <w:rFonts w:ascii="Times New Roman" w:hAnsi="Times New Roman" w:cs="Times New Roman"/>
          <w:b/>
          <w:bCs/>
          <w:sz w:val="24"/>
          <w:szCs w:val="24"/>
          <w:lang w:val="en-US"/>
        </w:rPr>
      </w:pPr>
    </w:p>
    <w:p w14:paraId="5918F298" w14:textId="77777777" w:rsidR="002066FE" w:rsidRPr="00483285" w:rsidRDefault="002066FE" w:rsidP="002066FE">
      <w:pPr>
        <w:autoSpaceDE w:val="0"/>
        <w:autoSpaceDN w:val="0"/>
        <w:adjustRightInd w:val="0"/>
        <w:spacing w:after="0" w:line="240" w:lineRule="auto"/>
        <w:rPr>
          <w:rFonts w:ascii="Times New Roman" w:hAnsi="Times New Roman" w:cs="Times New Roman"/>
          <w:b/>
          <w:bCs/>
          <w:sz w:val="24"/>
          <w:szCs w:val="24"/>
          <w:lang w:val="en-US"/>
        </w:rPr>
      </w:pPr>
      <w:r w:rsidRPr="00483285">
        <w:rPr>
          <w:rFonts w:ascii="Times New Roman" w:hAnsi="Times New Roman" w:cs="Times New Roman"/>
          <w:b/>
          <w:bCs/>
          <w:sz w:val="24"/>
          <w:szCs w:val="24"/>
          <w:lang w:val="en-US"/>
        </w:rPr>
        <w:t>This file includes:</w:t>
      </w:r>
    </w:p>
    <w:p w14:paraId="273304E8" w14:textId="77777777" w:rsidR="006E5120" w:rsidRDefault="006E5120" w:rsidP="008B4E5C">
      <w:pPr>
        <w:autoSpaceDE w:val="0"/>
        <w:autoSpaceDN w:val="0"/>
        <w:adjustRightInd w:val="0"/>
        <w:spacing w:after="0" w:line="240" w:lineRule="auto"/>
        <w:rPr>
          <w:rFonts w:ascii="Times New Roman" w:hAnsi="Times New Roman" w:cs="Times New Roman"/>
          <w:sz w:val="24"/>
          <w:szCs w:val="24"/>
          <w:lang w:val="en-US"/>
        </w:rPr>
      </w:pPr>
    </w:p>
    <w:p w14:paraId="340710A2" w14:textId="78DF7D91" w:rsidR="006E5120" w:rsidRPr="006E5120" w:rsidRDefault="006E5120" w:rsidP="00C469D0">
      <w:pPr>
        <w:autoSpaceDE w:val="0"/>
        <w:autoSpaceDN w:val="0"/>
        <w:adjustRightInd w:val="0"/>
        <w:spacing w:after="60" w:line="240" w:lineRule="auto"/>
        <w:rPr>
          <w:rFonts w:ascii="Times New Roman" w:hAnsi="Times New Roman" w:cs="Times New Roman"/>
          <w:b/>
          <w:sz w:val="24"/>
          <w:szCs w:val="24"/>
          <w:lang w:val="en-US"/>
        </w:rPr>
      </w:pPr>
      <w:r w:rsidRPr="006E5120">
        <w:rPr>
          <w:rFonts w:ascii="Times New Roman" w:hAnsi="Times New Roman" w:cs="Times New Roman"/>
          <w:b/>
          <w:sz w:val="24"/>
          <w:szCs w:val="24"/>
          <w:lang w:val="en-US"/>
        </w:rPr>
        <w:t>Table S4</w:t>
      </w:r>
    </w:p>
    <w:p w14:paraId="2F8FD342" w14:textId="30E1211B" w:rsidR="00B51DBF" w:rsidRDefault="00B51DBF" w:rsidP="00C469D0">
      <w:pPr>
        <w:autoSpaceDE w:val="0"/>
        <w:autoSpaceDN w:val="0"/>
        <w:adjustRightInd w:val="0"/>
        <w:spacing w:after="60" w:line="240" w:lineRule="auto"/>
        <w:rPr>
          <w:rFonts w:ascii="Times New Roman" w:hAnsi="Times New Roman" w:cs="Times New Roman"/>
          <w:sz w:val="24"/>
          <w:szCs w:val="24"/>
          <w:lang w:val="en-US"/>
        </w:rPr>
      </w:pPr>
      <w:r w:rsidRPr="006E5120">
        <w:rPr>
          <w:rFonts w:ascii="Times New Roman" w:hAnsi="Times New Roman" w:cs="Times New Roman"/>
          <w:b/>
          <w:sz w:val="24"/>
          <w:szCs w:val="24"/>
          <w:lang w:val="en-US"/>
        </w:rPr>
        <w:t xml:space="preserve">Description of the simulation </w:t>
      </w:r>
      <w:r w:rsidR="006E5120" w:rsidRPr="006E5120">
        <w:rPr>
          <w:rFonts w:ascii="Times New Roman" w:hAnsi="Times New Roman" w:cs="Times New Roman"/>
          <w:b/>
          <w:sz w:val="24"/>
          <w:szCs w:val="24"/>
          <w:lang w:val="en-US"/>
        </w:rPr>
        <w:t>approach</w:t>
      </w:r>
      <w:r w:rsidR="006E5120">
        <w:rPr>
          <w:rFonts w:ascii="Times New Roman" w:hAnsi="Times New Roman" w:cs="Times New Roman"/>
          <w:sz w:val="24"/>
          <w:szCs w:val="24"/>
          <w:lang w:val="en-US"/>
        </w:rPr>
        <w:t xml:space="preserve"> </w:t>
      </w:r>
      <w:r>
        <w:rPr>
          <w:rFonts w:ascii="Times New Roman" w:hAnsi="Times New Roman" w:cs="Times New Roman"/>
          <w:sz w:val="24"/>
          <w:szCs w:val="24"/>
          <w:lang w:val="en-US"/>
        </w:rPr>
        <w:t xml:space="preserve">to assess </w:t>
      </w:r>
      <w:r w:rsidR="006440C4" w:rsidRPr="006440C4">
        <w:rPr>
          <w:rFonts w:ascii="Times New Roman" w:hAnsi="Times New Roman" w:cs="Times New Roman"/>
          <w:sz w:val="24"/>
          <w:szCs w:val="24"/>
          <w:lang w:val="en-US"/>
        </w:rPr>
        <w:t>the potential effect of high-CO</w:t>
      </w:r>
      <w:r w:rsidR="006440C4" w:rsidRPr="006E5120">
        <w:rPr>
          <w:rFonts w:ascii="Times New Roman" w:hAnsi="Times New Roman" w:cs="Times New Roman"/>
          <w:sz w:val="24"/>
          <w:szCs w:val="24"/>
          <w:vertAlign w:val="subscript"/>
          <w:lang w:val="en-US"/>
        </w:rPr>
        <w:t>2</w:t>
      </w:r>
      <w:r w:rsidR="006440C4" w:rsidRPr="006440C4">
        <w:rPr>
          <w:rFonts w:ascii="Times New Roman" w:hAnsi="Times New Roman" w:cs="Times New Roman"/>
          <w:sz w:val="24"/>
          <w:szCs w:val="24"/>
          <w:lang w:val="en-US"/>
        </w:rPr>
        <w:t>-inhibition on total annual monoterpene emission from QI leaves under a future warmer climate with double [CO</w:t>
      </w:r>
      <w:r w:rsidR="006440C4" w:rsidRPr="006E5120">
        <w:rPr>
          <w:rFonts w:ascii="Times New Roman" w:hAnsi="Times New Roman" w:cs="Times New Roman"/>
          <w:sz w:val="24"/>
          <w:szCs w:val="24"/>
          <w:vertAlign w:val="subscript"/>
          <w:lang w:val="en-US"/>
        </w:rPr>
        <w:t>2</w:t>
      </w:r>
      <w:r w:rsidR="006440C4" w:rsidRPr="006440C4">
        <w:rPr>
          <w:rFonts w:ascii="Times New Roman" w:hAnsi="Times New Roman" w:cs="Times New Roman"/>
          <w:sz w:val="24"/>
          <w:szCs w:val="24"/>
          <w:lang w:val="en-US"/>
        </w:rPr>
        <w:t>]</w:t>
      </w:r>
      <w:r w:rsidR="00AA3528">
        <w:rPr>
          <w:rFonts w:ascii="Times New Roman" w:hAnsi="Times New Roman" w:cs="Times New Roman"/>
          <w:sz w:val="24"/>
          <w:szCs w:val="24"/>
          <w:lang w:val="en-US"/>
        </w:rPr>
        <w:t xml:space="preserve"> </w:t>
      </w:r>
    </w:p>
    <w:p w14:paraId="252B05DA" w14:textId="65CDEB78" w:rsidR="006E5120" w:rsidRPr="006E5120" w:rsidRDefault="006E5120" w:rsidP="00C469D0">
      <w:pPr>
        <w:autoSpaceDE w:val="0"/>
        <w:autoSpaceDN w:val="0"/>
        <w:adjustRightInd w:val="0"/>
        <w:spacing w:after="60" w:line="240" w:lineRule="auto"/>
        <w:rPr>
          <w:rFonts w:ascii="Times New Roman" w:hAnsi="Times New Roman" w:cs="Times New Roman"/>
          <w:b/>
          <w:sz w:val="24"/>
          <w:szCs w:val="24"/>
          <w:lang w:val="en-US"/>
        </w:rPr>
      </w:pPr>
      <w:r w:rsidRPr="006E5120">
        <w:rPr>
          <w:rFonts w:ascii="Times New Roman" w:hAnsi="Times New Roman" w:cs="Times New Roman"/>
          <w:b/>
          <w:sz w:val="24"/>
          <w:szCs w:val="24"/>
          <w:lang w:val="en-US"/>
        </w:rPr>
        <w:t>Figure S9</w:t>
      </w:r>
    </w:p>
    <w:p w14:paraId="5838BF85" w14:textId="7F368C37" w:rsidR="006E5120" w:rsidRDefault="006E5120" w:rsidP="00C469D0">
      <w:pPr>
        <w:autoSpaceDE w:val="0"/>
        <w:autoSpaceDN w:val="0"/>
        <w:adjustRightInd w:val="0"/>
        <w:spacing w:after="60" w:line="240" w:lineRule="auto"/>
        <w:rPr>
          <w:rFonts w:ascii="Times New Roman" w:hAnsi="Times New Roman" w:cs="Times New Roman"/>
          <w:b/>
          <w:sz w:val="24"/>
          <w:szCs w:val="24"/>
          <w:lang w:val="en-US"/>
        </w:rPr>
      </w:pPr>
      <w:r w:rsidRPr="006E5120">
        <w:rPr>
          <w:rFonts w:ascii="Times New Roman" w:hAnsi="Times New Roman" w:cs="Times New Roman"/>
          <w:b/>
          <w:sz w:val="24"/>
          <w:szCs w:val="24"/>
          <w:lang w:val="en-US"/>
        </w:rPr>
        <w:t>Table S</w:t>
      </w:r>
      <w:r>
        <w:rPr>
          <w:rFonts w:ascii="Times New Roman" w:hAnsi="Times New Roman" w:cs="Times New Roman"/>
          <w:b/>
          <w:sz w:val="24"/>
          <w:szCs w:val="24"/>
          <w:lang w:val="en-US"/>
        </w:rPr>
        <w:t>5</w:t>
      </w:r>
    </w:p>
    <w:p w14:paraId="01A565BB" w14:textId="09A9F56B" w:rsidR="00B51DBF" w:rsidRPr="00483285" w:rsidRDefault="00B51DBF" w:rsidP="00B51DBF">
      <w:pPr>
        <w:autoSpaceDE w:val="0"/>
        <w:autoSpaceDN w:val="0"/>
        <w:adjustRightInd w:val="0"/>
        <w:spacing w:after="0" w:line="240" w:lineRule="auto"/>
        <w:rPr>
          <w:rFonts w:ascii="Times New Roman" w:hAnsi="Times New Roman" w:cs="Times New Roman"/>
          <w:sz w:val="24"/>
          <w:szCs w:val="24"/>
          <w:lang w:val="en-US"/>
        </w:rPr>
      </w:pPr>
      <w:r w:rsidRPr="006E5120">
        <w:rPr>
          <w:rFonts w:ascii="Times New Roman" w:hAnsi="Times New Roman" w:cs="Times New Roman"/>
          <w:b/>
          <w:sz w:val="24"/>
          <w:szCs w:val="24"/>
          <w:lang w:val="en-US"/>
        </w:rPr>
        <w:t>Figure S</w:t>
      </w:r>
      <w:r w:rsidR="00AA3528" w:rsidRPr="006E5120">
        <w:rPr>
          <w:rFonts w:ascii="Times New Roman" w:hAnsi="Times New Roman" w:cs="Times New Roman"/>
          <w:b/>
          <w:sz w:val="24"/>
          <w:szCs w:val="24"/>
          <w:lang w:val="en-US"/>
        </w:rPr>
        <w:t>10</w:t>
      </w:r>
    </w:p>
    <w:p w14:paraId="30DE30D3" w14:textId="5F5A2420" w:rsidR="002066FE" w:rsidRPr="00483285" w:rsidRDefault="002066FE" w:rsidP="002066FE">
      <w:pPr>
        <w:autoSpaceDE w:val="0"/>
        <w:autoSpaceDN w:val="0"/>
        <w:adjustRightInd w:val="0"/>
        <w:spacing w:after="0" w:line="240" w:lineRule="auto"/>
        <w:rPr>
          <w:rFonts w:ascii="Times New Roman" w:hAnsi="Times New Roman" w:cs="Times New Roman"/>
          <w:sz w:val="24"/>
          <w:szCs w:val="24"/>
          <w:lang w:val="en-US"/>
        </w:rPr>
      </w:pPr>
    </w:p>
    <w:p w14:paraId="5703E831" w14:textId="77777777" w:rsidR="00B12B32" w:rsidRPr="00483285" w:rsidRDefault="00B12B32" w:rsidP="00AE7F3D">
      <w:pPr>
        <w:jc w:val="both"/>
        <w:rPr>
          <w:rFonts w:ascii="Times New Roman" w:hAnsi="Times New Roman" w:cs="Times New Roman"/>
          <w:bCs/>
          <w:sz w:val="24"/>
          <w:szCs w:val="24"/>
          <w:lang w:val="en-US"/>
        </w:rPr>
      </w:pPr>
    </w:p>
    <w:p w14:paraId="4BEF7BF6" w14:textId="399BAF36" w:rsidR="002F72E5" w:rsidRPr="00483285" w:rsidRDefault="002F72E5" w:rsidP="00B12B32">
      <w:pPr>
        <w:rPr>
          <w:rFonts w:ascii="Times New Roman" w:hAnsi="Times New Roman" w:cs="Times New Roman"/>
          <w:sz w:val="24"/>
          <w:szCs w:val="24"/>
          <w:lang w:val="en-US"/>
        </w:rPr>
      </w:pPr>
    </w:p>
    <w:p w14:paraId="39FAD1DB" w14:textId="77777777" w:rsidR="00A81E3C" w:rsidRPr="00483285" w:rsidRDefault="00A81E3C">
      <w:pPr>
        <w:rPr>
          <w:rFonts w:ascii="Times New Roman" w:hAnsi="Times New Roman" w:cs="Times New Roman"/>
          <w:b/>
          <w:sz w:val="20"/>
          <w:szCs w:val="20"/>
          <w:lang w:val="en-US"/>
        </w:rPr>
      </w:pPr>
      <w:r w:rsidRPr="00483285">
        <w:rPr>
          <w:rFonts w:ascii="Times New Roman" w:hAnsi="Times New Roman" w:cs="Times New Roman"/>
          <w:b/>
          <w:sz w:val="20"/>
          <w:szCs w:val="20"/>
          <w:lang w:val="en-US"/>
        </w:rPr>
        <w:br w:type="page"/>
      </w:r>
    </w:p>
    <w:p w14:paraId="6994C4C6" w14:textId="77777777" w:rsidR="006E5120" w:rsidRPr="00483285" w:rsidRDefault="006E5120" w:rsidP="006E5120">
      <w:pPr>
        <w:spacing w:after="0"/>
        <w:ind w:left="851"/>
        <w:jc w:val="both"/>
        <w:rPr>
          <w:rFonts w:ascii="Times New Roman" w:hAnsi="Times New Roman" w:cs="Times New Roman"/>
          <w:b/>
          <w:sz w:val="24"/>
          <w:szCs w:val="24"/>
          <w:lang w:val="en-GB"/>
        </w:rPr>
      </w:pPr>
    </w:p>
    <w:p w14:paraId="0B4DC636" w14:textId="77777777" w:rsidR="006E5120" w:rsidRPr="00483285" w:rsidRDefault="006E5120" w:rsidP="006E5120">
      <w:pPr>
        <w:spacing w:after="0"/>
        <w:ind w:left="851"/>
        <w:jc w:val="both"/>
        <w:rPr>
          <w:rFonts w:ascii="Times New Roman" w:eastAsia="Times New Roman" w:hAnsi="Times New Roman" w:cs="Times New Roman"/>
          <w:color w:val="000000"/>
          <w:sz w:val="18"/>
          <w:szCs w:val="18"/>
          <w:lang w:val="en-US" w:eastAsia="fr-FR"/>
        </w:rPr>
      </w:pPr>
      <w:r w:rsidRPr="00483285">
        <w:rPr>
          <w:rFonts w:ascii="Times New Roman" w:hAnsi="Times New Roman" w:cs="Times New Roman"/>
          <w:b/>
          <w:sz w:val="18"/>
          <w:szCs w:val="18"/>
          <w:lang w:val="en-GB"/>
        </w:rPr>
        <w:t>Table S4.</w:t>
      </w:r>
      <w:r w:rsidRPr="00483285">
        <w:rPr>
          <w:rFonts w:ascii="Times New Roman" w:hAnsi="Times New Roman" w:cs="Times New Roman"/>
          <w:sz w:val="18"/>
          <w:szCs w:val="18"/>
          <w:lang w:val="en-GB"/>
        </w:rPr>
        <w:t xml:space="preserve"> Results from non-linear fitting of the relative monoterpene emission rates (E</w:t>
      </w:r>
      <w:r w:rsidRPr="00483285">
        <w:rPr>
          <w:rFonts w:ascii="Times New Roman" w:hAnsi="Times New Roman" w:cs="Times New Roman"/>
          <w:sz w:val="18"/>
          <w:szCs w:val="18"/>
          <w:vertAlign w:val="subscript"/>
          <w:lang w:val="en-GB"/>
        </w:rPr>
        <w:t>CO2</w:t>
      </w:r>
      <w:r w:rsidRPr="00483285">
        <w:rPr>
          <w:rFonts w:ascii="Times New Roman" w:hAnsi="Times New Roman" w:cs="Times New Roman"/>
          <w:sz w:val="18"/>
          <w:szCs w:val="18"/>
          <w:lang w:val="en-GB"/>
        </w:rPr>
        <w:t xml:space="preserve"> E</w:t>
      </w:r>
      <w:r w:rsidRPr="00483285">
        <w:rPr>
          <w:rFonts w:ascii="Times New Roman" w:hAnsi="Times New Roman" w:cs="Times New Roman"/>
          <w:sz w:val="18"/>
          <w:szCs w:val="18"/>
          <w:vertAlign w:val="subscript"/>
          <w:lang w:val="en-GB"/>
        </w:rPr>
        <w:t>400</w:t>
      </w:r>
      <w:r w:rsidRPr="00483285">
        <w:rPr>
          <w:rFonts w:ascii="Times New Roman" w:hAnsi="Times New Roman" w:cs="Times New Roman"/>
          <w:sz w:val="18"/>
          <w:szCs w:val="18"/>
          <w:vertAlign w:val="superscript"/>
          <w:lang w:val="en-GB"/>
        </w:rPr>
        <w:t>-1</w:t>
      </w:r>
      <w:r w:rsidRPr="00483285">
        <w:rPr>
          <w:rFonts w:ascii="Times New Roman" w:hAnsi="Times New Roman" w:cs="Times New Roman"/>
          <w:sz w:val="18"/>
          <w:szCs w:val="18"/>
          <w:lang w:val="en-GB"/>
        </w:rPr>
        <w:t>) measured during CO</w:t>
      </w:r>
      <w:r w:rsidRPr="00483285">
        <w:rPr>
          <w:rFonts w:ascii="Times New Roman" w:hAnsi="Times New Roman" w:cs="Times New Roman"/>
          <w:sz w:val="18"/>
          <w:szCs w:val="18"/>
          <w:vertAlign w:val="subscript"/>
          <w:lang w:val="en-GB"/>
        </w:rPr>
        <w:t>2</w:t>
      </w:r>
      <w:r w:rsidRPr="00483285">
        <w:rPr>
          <w:rFonts w:ascii="Times New Roman" w:hAnsi="Times New Roman" w:cs="Times New Roman"/>
          <w:sz w:val="18"/>
          <w:szCs w:val="18"/>
          <w:lang w:val="en-GB"/>
        </w:rPr>
        <w:t>-ramping experiments to the MEGAN algorithm accounting for CO</w:t>
      </w:r>
      <w:r w:rsidRPr="00483285">
        <w:rPr>
          <w:rFonts w:ascii="Times New Roman" w:hAnsi="Times New Roman" w:cs="Times New Roman"/>
          <w:sz w:val="18"/>
          <w:szCs w:val="18"/>
          <w:vertAlign w:val="subscript"/>
          <w:lang w:val="en-GB"/>
        </w:rPr>
        <w:t>2</w:t>
      </w:r>
      <w:r w:rsidRPr="00483285">
        <w:rPr>
          <w:rFonts w:ascii="Times New Roman" w:hAnsi="Times New Roman" w:cs="Times New Roman"/>
          <w:sz w:val="18"/>
          <w:szCs w:val="18"/>
          <w:lang w:val="en-GB"/>
        </w:rPr>
        <w:t xml:space="preserve">-effects on </w:t>
      </w:r>
      <w:r>
        <w:rPr>
          <w:rFonts w:ascii="Times New Roman" w:hAnsi="Times New Roman" w:cs="Times New Roman"/>
          <w:sz w:val="18"/>
          <w:szCs w:val="18"/>
          <w:lang w:val="en-GB"/>
        </w:rPr>
        <w:t>isoprene</w:t>
      </w:r>
      <w:r w:rsidRPr="00483285">
        <w:rPr>
          <w:rFonts w:ascii="Times New Roman" w:hAnsi="Times New Roman" w:cs="Times New Roman"/>
          <w:sz w:val="18"/>
          <w:szCs w:val="18"/>
          <w:lang w:val="en-GB"/>
        </w:rPr>
        <w:t xml:space="preserve"> emissions </w:t>
      </w:r>
      <w:r w:rsidRPr="00483285">
        <w:rPr>
          <w:rFonts w:ascii="Times New Roman" w:hAnsi="Times New Roman" w:cs="Times New Roman"/>
          <w:sz w:val="18"/>
          <w:szCs w:val="18"/>
          <w:lang w:val="en-US"/>
        </w:rPr>
        <w:t>(</w:t>
      </w:r>
      <w:r>
        <w:rPr>
          <w:rFonts w:ascii="Times New Roman" w:hAnsi="Times New Roman" w:cs="Times New Roman"/>
          <w:sz w:val="18"/>
          <w:szCs w:val="18"/>
          <w:lang w:val="en-US"/>
        </w:rPr>
        <w:t>Eq. (1),</w:t>
      </w:r>
      <w:r w:rsidRPr="00483285">
        <w:rPr>
          <w:rFonts w:ascii="Times New Roman" w:hAnsi="Times New Roman" w:cs="Times New Roman"/>
          <w:sz w:val="18"/>
          <w:szCs w:val="18"/>
          <w:lang w:val="en-US"/>
        </w:rPr>
        <w:t xml:space="preserve"> </w:t>
      </w:r>
      <w:r w:rsidRPr="00483285">
        <w:rPr>
          <w:rFonts w:ascii="Times New Roman" w:hAnsi="Times New Roman" w:cs="Times New Roman"/>
          <w:b/>
          <w:sz w:val="18"/>
          <w:szCs w:val="18"/>
          <w:lang w:val="en-US"/>
        </w:rPr>
        <w:t>Fig. 4</w:t>
      </w:r>
      <w:r w:rsidRPr="00483285">
        <w:rPr>
          <w:rFonts w:ascii="Times New Roman" w:hAnsi="Times New Roman" w:cs="Times New Roman"/>
          <w:sz w:val="18"/>
          <w:szCs w:val="18"/>
          <w:lang w:val="en-US"/>
        </w:rPr>
        <w:t>)</w:t>
      </w:r>
      <w:r>
        <w:rPr>
          <w:rFonts w:ascii="Times New Roman" w:hAnsi="Times New Roman" w:cs="Times New Roman"/>
          <w:sz w:val="18"/>
          <w:szCs w:val="18"/>
          <w:lang w:val="en-US"/>
        </w:rPr>
        <w:t xml:space="preserve">. </w:t>
      </w:r>
      <w:r w:rsidRPr="00483285">
        <w:rPr>
          <w:rFonts w:ascii="Times New Roman" w:hAnsi="Times New Roman" w:cs="Times New Roman"/>
          <w:sz w:val="18"/>
          <w:szCs w:val="18"/>
          <w:lang w:val="en-US"/>
        </w:rPr>
        <w:t>Values shows best-fit coefficients ± Standard Error performed on the merged data sets of the four growth populations (All), and on two subsets differing in growth temperature (400/20+800/20 and 400/25+800/25). For comparison, coefficients are given from the MEGAN model used to predict the short-term effects of CO</w:t>
      </w:r>
      <w:r w:rsidRPr="00483285">
        <w:rPr>
          <w:rFonts w:ascii="Times New Roman" w:hAnsi="Times New Roman" w:cs="Times New Roman"/>
          <w:sz w:val="18"/>
          <w:szCs w:val="18"/>
          <w:vertAlign w:val="subscript"/>
          <w:lang w:val="en-US"/>
        </w:rPr>
        <w:t>2</w:t>
      </w:r>
      <w:r w:rsidRPr="00483285">
        <w:rPr>
          <w:rFonts w:ascii="Times New Roman" w:hAnsi="Times New Roman" w:cs="Times New Roman"/>
          <w:sz w:val="18"/>
          <w:szCs w:val="18"/>
          <w:lang w:val="en-US"/>
        </w:rPr>
        <w:t xml:space="preserve"> on isoprene emissions from plants growing under current atmospheric [CO</w:t>
      </w:r>
      <w:r w:rsidRPr="00483285">
        <w:rPr>
          <w:rFonts w:ascii="Times New Roman" w:hAnsi="Times New Roman" w:cs="Times New Roman"/>
          <w:sz w:val="18"/>
          <w:szCs w:val="18"/>
          <w:vertAlign w:val="subscript"/>
          <w:lang w:val="en-US"/>
        </w:rPr>
        <w:t>2</w:t>
      </w:r>
      <w:r w:rsidRPr="00483285">
        <w:rPr>
          <w:rFonts w:ascii="Times New Roman" w:hAnsi="Times New Roman" w:cs="Times New Roman"/>
          <w:sz w:val="18"/>
          <w:szCs w:val="18"/>
          <w:lang w:val="en-US"/>
        </w:rPr>
        <w:t>]. The estimation of the coefficients was carried out using least squares method (Marquardt-</w:t>
      </w:r>
      <w:proofErr w:type="spellStart"/>
      <w:r w:rsidRPr="00483285">
        <w:rPr>
          <w:rFonts w:ascii="Times New Roman" w:hAnsi="Times New Roman" w:cs="Times New Roman"/>
          <w:sz w:val="18"/>
          <w:szCs w:val="18"/>
          <w:lang w:val="en-US"/>
        </w:rPr>
        <w:t>Levenberg</w:t>
      </w:r>
      <w:proofErr w:type="spellEnd"/>
      <w:r w:rsidRPr="00483285">
        <w:rPr>
          <w:rFonts w:ascii="Times New Roman" w:hAnsi="Times New Roman" w:cs="Times New Roman"/>
          <w:sz w:val="18"/>
          <w:szCs w:val="18"/>
          <w:lang w:val="en-US"/>
        </w:rPr>
        <w:t xml:space="preserve"> algorithm, </w:t>
      </w:r>
      <w:proofErr w:type="spellStart"/>
      <w:r w:rsidRPr="00483285">
        <w:rPr>
          <w:rFonts w:ascii="Times New Roman" w:hAnsi="Times New Roman" w:cs="Times New Roman"/>
          <w:sz w:val="18"/>
          <w:szCs w:val="18"/>
          <w:lang w:val="en-US"/>
        </w:rPr>
        <w:t>SigmaStat</w:t>
      </w:r>
      <w:proofErr w:type="spellEnd"/>
      <w:r w:rsidRPr="00483285">
        <w:rPr>
          <w:rFonts w:ascii="Times New Roman" w:hAnsi="Times New Roman" w:cs="Times New Roman"/>
          <w:sz w:val="18"/>
          <w:szCs w:val="18"/>
          <w:lang w:val="en-US"/>
        </w:rPr>
        <w:t xml:space="preserve"> 2.0 </w:t>
      </w:r>
      <w:proofErr w:type="spellStart"/>
      <w:r w:rsidRPr="00483285">
        <w:rPr>
          <w:rFonts w:ascii="Times New Roman" w:hAnsi="Times New Roman" w:cs="Times New Roman"/>
          <w:sz w:val="18"/>
          <w:szCs w:val="18"/>
          <w:lang w:val="en-US"/>
        </w:rPr>
        <w:t>Jandel</w:t>
      </w:r>
      <w:proofErr w:type="spellEnd"/>
      <w:r w:rsidRPr="00483285">
        <w:rPr>
          <w:rFonts w:ascii="Times New Roman" w:hAnsi="Times New Roman" w:cs="Times New Roman"/>
          <w:sz w:val="18"/>
          <w:szCs w:val="18"/>
          <w:lang w:val="en-US"/>
        </w:rPr>
        <w:t xml:space="preserve"> Scientific Software). R is the correlation coefficient and P the probability value of the fits.</w:t>
      </w:r>
    </w:p>
    <w:p w14:paraId="41B9B6C5" w14:textId="77777777" w:rsidR="006E5120" w:rsidRPr="00483285" w:rsidRDefault="006E5120" w:rsidP="006E5120">
      <w:pPr>
        <w:spacing w:after="0"/>
        <w:rPr>
          <w:rFonts w:ascii="Times New Roman" w:hAnsi="Times New Roman" w:cs="Times New Roman"/>
          <w:sz w:val="24"/>
          <w:szCs w:val="24"/>
          <w:lang w:val="en-US"/>
        </w:rPr>
      </w:pPr>
      <w:r w:rsidRPr="00483285">
        <w:rPr>
          <w:rFonts w:ascii="Times New Roman" w:hAnsi="Times New Roman" w:cs="Times New Roman"/>
          <w:sz w:val="24"/>
          <w:szCs w:val="24"/>
          <w:lang w:val="en-US"/>
        </w:rPr>
        <w:t xml:space="preserve"> </w:t>
      </w:r>
    </w:p>
    <w:tbl>
      <w:tblPr>
        <w:tblW w:w="0" w:type="auto"/>
        <w:jc w:val="center"/>
        <w:tblLayout w:type="fixed"/>
        <w:tblCellMar>
          <w:top w:w="57" w:type="dxa"/>
          <w:left w:w="57" w:type="dxa"/>
          <w:bottom w:w="57" w:type="dxa"/>
          <w:right w:w="57" w:type="dxa"/>
        </w:tblCellMar>
        <w:tblLook w:val="01E0" w:firstRow="1" w:lastRow="1" w:firstColumn="1" w:lastColumn="1" w:noHBand="0" w:noVBand="0"/>
      </w:tblPr>
      <w:tblGrid>
        <w:gridCol w:w="1701"/>
        <w:gridCol w:w="1247"/>
        <w:gridCol w:w="1247"/>
        <w:gridCol w:w="1247"/>
        <w:gridCol w:w="1701"/>
      </w:tblGrid>
      <w:tr w:rsidR="006E5120" w:rsidRPr="00483285" w14:paraId="5F4E56CD" w14:textId="77777777" w:rsidTr="000A6806">
        <w:trPr>
          <w:trHeight w:hRule="exact" w:val="624"/>
          <w:jc w:val="center"/>
        </w:trPr>
        <w:tc>
          <w:tcPr>
            <w:tcW w:w="1701" w:type="dxa"/>
            <w:tcBorders>
              <w:top w:val="single" w:sz="4" w:space="0" w:color="auto"/>
              <w:bottom w:val="single" w:sz="4" w:space="0" w:color="auto"/>
            </w:tcBorders>
            <w:shd w:val="clear" w:color="auto" w:fill="auto"/>
            <w:vAlign w:val="center"/>
          </w:tcPr>
          <w:p w14:paraId="0CA58367" w14:textId="77777777" w:rsidR="006E5120" w:rsidRPr="00483285" w:rsidRDefault="006E5120" w:rsidP="000A6806">
            <w:pPr>
              <w:spacing w:after="0"/>
              <w:rPr>
                <w:rFonts w:ascii="Times New Roman" w:hAnsi="Times New Roman" w:cs="Times New Roman"/>
                <w:b/>
                <w:sz w:val="20"/>
                <w:szCs w:val="20"/>
                <w:lang w:val="en-GB"/>
              </w:rPr>
            </w:pPr>
            <w:r w:rsidRPr="00483285">
              <w:rPr>
                <w:rFonts w:ascii="Times New Roman" w:hAnsi="Times New Roman" w:cs="Times New Roman"/>
                <w:b/>
                <w:sz w:val="20"/>
                <w:szCs w:val="20"/>
                <w:lang w:val="en-GB" w:eastAsia="fr-FR"/>
              </w:rPr>
              <w:t>Data set</w:t>
            </w:r>
          </w:p>
        </w:tc>
        <w:tc>
          <w:tcPr>
            <w:tcW w:w="1247" w:type="dxa"/>
            <w:tcBorders>
              <w:top w:val="single" w:sz="4" w:space="0" w:color="auto"/>
              <w:bottom w:val="single" w:sz="4" w:space="0" w:color="auto"/>
            </w:tcBorders>
            <w:shd w:val="clear" w:color="auto" w:fill="auto"/>
            <w:vAlign w:val="center"/>
          </w:tcPr>
          <w:p w14:paraId="44AEC61B" w14:textId="77777777" w:rsidR="006E5120" w:rsidRPr="00483285" w:rsidRDefault="006E5120" w:rsidP="000A6806">
            <w:pPr>
              <w:spacing w:after="0" w:line="240" w:lineRule="auto"/>
              <w:jc w:val="center"/>
              <w:rPr>
                <w:rFonts w:ascii="Times New Roman" w:hAnsi="Times New Roman" w:cs="Times New Roman"/>
                <w:b/>
                <w:sz w:val="20"/>
                <w:szCs w:val="20"/>
                <w:lang w:val="en-GB" w:eastAsia="fr-FR"/>
              </w:rPr>
            </w:pPr>
            <w:proofErr w:type="spellStart"/>
            <w:r w:rsidRPr="00483285">
              <w:rPr>
                <w:rFonts w:ascii="Times New Roman" w:hAnsi="Times New Roman" w:cs="Times New Roman"/>
                <w:b/>
                <w:sz w:val="20"/>
                <w:szCs w:val="20"/>
                <w:lang w:val="en-GB" w:eastAsia="fr-FR"/>
              </w:rPr>
              <w:t>E</w:t>
            </w:r>
            <w:r w:rsidRPr="00483285">
              <w:rPr>
                <w:rFonts w:ascii="Times New Roman" w:hAnsi="Times New Roman" w:cs="Times New Roman"/>
                <w:b/>
                <w:sz w:val="20"/>
                <w:szCs w:val="20"/>
                <w:vertAlign w:val="subscript"/>
                <w:lang w:val="en-GB" w:eastAsia="fr-FR"/>
              </w:rPr>
              <w:t>max</w:t>
            </w:r>
            <w:proofErr w:type="spellEnd"/>
            <w:r w:rsidRPr="00483285">
              <w:rPr>
                <w:rFonts w:ascii="Times New Roman" w:hAnsi="Times New Roman" w:cs="Times New Roman"/>
                <w:b/>
                <w:sz w:val="20"/>
                <w:szCs w:val="20"/>
                <w:vertAlign w:val="subscript"/>
                <w:lang w:val="en-GB" w:eastAsia="fr-FR"/>
              </w:rPr>
              <w:t xml:space="preserve"> </w:t>
            </w:r>
            <w:r w:rsidRPr="00483285">
              <w:rPr>
                <w:rFonts w:ascii="Times New Roman" w:hAnsi="Times New Roman" w:cs="Times New Roman"/>
                <w:b/>
                <w:sz w:val="20"/>
                <w:szCs w:val="20"/>
                <w:lang w:val="en-GB"/>
              </w:rPr>
              <w:t xml:space="preserve">± </w:t>
            </w:r>
            <w:r w:rsidRPr="00483285">
              <w:rPr>
                <w:rFonts w:ascii="Times New Roman" w:hAnsi="Times New Roman" w:cs="Times New Roman"/>
                <w:b/>
                <w:sz w:val="20"/>
                <w:szCs w:val="20"/>
                <w:lang w:val="en-GB" w:eastAsia="fr-FR"/>
              </w:rPr>
              <w:t>SE</w:t>
            </w:r>
          </w:p>
        </w:tc>
        <w:tc>
          <w:tcPr>
            <w:tcW w:w="1247" w:type="dxa"/>
            <w:tcBorders>
              <w:top w:val="single" w:sz="4" w:space="0" w:color="auto"/>
              <w:bottom w:val="single" w:sz="4" w:space="0" w:color="auto"/>
            </w:tcBorders>
            <w:shd w:val="clear" w:color="auto" w:fill="auto"/>
            <w:vAlign w:val="center"/>
          </w:tcPr>
          <w:p w14:paraId="7FF2E2C8" w14:textId="77777777" w:rsidR="006E5120" w:rsidRPr="00483285" w:rsidRDefault="006E5120" w:rsidP="000A6806">
            <w:pPr>
              <w:spacing w:after="0" w:line="240" w:lineRule="auto"/>
              <w:jc w:val="center"/>
              <w:rPr>
                <w:rFonts w:ascii="Times New Roman" w:hAnsi="Times New Roman" w:cs="Times New Roman"/>
                <w:b/>
                <w:sz w:val="20"/>
                <w:szCs w:val="20"/>
                <w:lang w:val="en-GB" w:eastAsia="fr-FR"/>
              </w:rPr>
            </w:pPr>
            <w:r w:rsidRPr="00483285">
              <w:rPr>
                <w:rFonts w:ascii="Times New Roman" w:hAnsi="Times New Roman" w:cs="Times New Roman"/>
                <w:b/>
                <w:i/>
                <w:sz w:val="20"/>
                <w:szCs w:val="20"/>
                <w:lang w:val="en-GB" w:eastAsia="fr-FR"/>
              </w:rPr>
              <w:t xml:space="preserve">h </w:t>
            </w:r>
            <w:r w:rsidRPr="00483285">
              <w:rPr>
                <w:rFonts w:ascii="Times New Roman" w:hAnsi="Times New Roman" w:cs="Times New Roman"/>
                <w:b/>
                <w:sz w:val="20"/>
                <w:szCs w:val="20"/>
                <w:lang w:val="en-GB"/>
              </w:rPr>
              <w:t>± SE</w:t>
            </w:r>
          </w:p>
        </w:tc>
        <w:tc>
          <w:tcPr>
            <w:tcW w:w="1247" w:type="dxa"/>
            <w:tcBorders>
              <w:top w:val="single" w:sz="4" w:space="0" w:color="auto"/>
              <w:bottom w:val="single" w:sz="4" w:space="0" w:color="auto"/>
            </w:tcBorders>
            <w:vAlign w:val="center"/>
          </w:tcPr>
          <w:p w14:paraId="23F2FEDB" w14:textId="77777777" w:rsidR="006E5120" w:rsidRPr="00483285" w:rsidRDefault="006E5120" w:rsidP="000A6806">
            <w:pPr>
              <w:spacing w:after="0" w:line="240" w:lineRule="auto"/>
              <w:jc w:val="center"/>
              <w:rPr>
                <w:rFonts w:ascii="Times New Roman" w:hAnsi="Times New Roman" w:cs="Times New Roman"/>
                <w:b/>
                <w:sz w:val="20"/>
                <w:szCs w:val="20"/>
                <w:lang w:val="en-GB" w:eastAsia="fr-FR"/>
              </w:rPr>
            </w:pPr>
            <w:r w:rsidRPr="00483285">
              <w:rPr>
                <w:rFonts w:ascii="Times New Roman" w:hAnsi="Times New Roman" w:cs="Times New Roman"/>
                <w:b/>
                <w:sz w:val="20"/>
                <w:szCs w:val="20"/>
                <w:lang w:val="en-GB" w:eastAsia="fr-FR"/>
              </w:rPr>
              <w:t>C*</w:t>
            </w:r>
            <w:r w:rsidRPr="00483285">
              <w:rPr>
                <w:rFonts w:ascii="Times New Roman" w:hAnsi="Times New Roman" w:cs="Times New Roman"/>
                <w:b/>
                <w:sz w:val="20"/>
                <w:szCs w:val="20"/>
                <w:vertAlign w:val="subscript"/>
                <w:lang w:val="en-GB" w:eastAsia="fr-FR"/>
              </w:rPr>
              <w:t xml:space="preserve"> </w:t>
            </w:r>
            <w:r w:rsidRPr="00483285">
              <w:rPr>
                <w:rFonts w:ascii="Times New Roman" w:hAnsi="Times New Roman" w:cs="Times New Roman"/>
                <w:b/>
                <w:sz w:val="20"/>
                <w:szCs w:val="20"/>
                <w:lang w:val="en-GB"/>
              </w:rPr>
              <w:t xml:space="preserve">± </w:t>
            </w:r>
            <w:r w:rsidRPr="00483285">
              <w:rPr>
                <w:rFonts w:ascii="Times New Roman" w:hAnsi="Times New Roman" w:cs="Times New Roman"/>
                <w:b/>
                <w:sz w:val="20"/>
                <w:szCs w:val="20"/>
                <w:lang w:val="en-GB" w:eastAsia="fr-FR"/>
              </w:rPr>
              <w:t>SE</w:t>
            </w:r>
          </w:p>
        </w:tc>
        <w:tc>
          <w:tcPr>
            <w:tcW w:w="1701" w:type="dxa"/>
            <w:tcBorders>
              <w:top w:val="single" w:sz="4" w:space="0" w:color="auto"/>
              <w:bottom w:val="single" w:sz="4" w:space="0" w:color="auto"/>
            </w:tcBorders>
            <w:vAlign w:val="center"/>
          </w:tcPr>
          <w:p w14:paraId="3C27D620" w14:textId="77777777" w:rsidR="006E5120" w:rsidRPr="00483285" w:rsidRDefault="006E5120" w:rsidP="000A6806">
            <w:pPr>
              <w:spacing w:after="0" w:line="240" w:lineRule="auto"/>
              <w:jc w:val="center"/>
              <w:rPr>
                <w:rFonts w:ascii="Times New Roman" w:hAnsi="Times New Roman" w:cs="Times New Roman"/>
                <w:b/>
                <w:sz w:val="20"/>
                <w:szCs w:val="20"/>
                <w:lang w:val="en-GB" w:eastAsia="fr-FR"/>
              </w:rPr>
            </w:pPr>
            <w:r w:rsidRPr="00483285">
              <w:rPr>
                <w:rFonts w:ascii="Times New Roman" w:hAnsi="Times New Roman" w:cs="Times New Roman"/>
                <w:b/>
                <w:sz w:val="20"/>
                <w:szCs w:val="20"/>
                <w:lang w:val="en-GB" w:eastAsia="fr-FR"/>
              </w:rPr>
              <w:t>R (P)</w:t>
            </w:r>
          </w:p>
        </w:tc>
      </w:tr>
      <w:tr w:rsidR="006E5120" w:rsidRPr="00483285" w14:paraId="6B6B94D6" w14:textId="77777777" w:rsidTr="000A6806">
        <w:trPr>
          <w:trHeight w:hRule="exact" w:val="680"/>
          <w:jc w:val="center"/>
        </w:trPr>
        <w:tc>
          <w:tcPr>
            <w:tcW w:w="1701" w:type="dxa"/>
            <w:shd w:val="clear" w:color="auto" w:fill="auto"/>
            <w:vAlign w:val="center"/>
          </w:tcPr>
          <w:p w14:paraId="5B64D3C2" w14:textId="77777777" w:rsidR="006E5120" w:rsidRPr="00483285" w:rsidRDefault="006E5120" w:rsidP="000A6806">
            <w:pPr>
              <w:spacing w:after="0" w:line="240" w:lineRule="auto"/>
              <w:rPr>
                <w:rFonts w:ascii="Times New Roman" w:hAnsi="Times New Roman" w:cs="Times New Roman"/>
                <w:b/>
                <w:sz w:val="20"/>
                <w:szCs w:val="20"/>
                <w:lang w:val="en-GB" w:eastAsia="fr-FR"/>
              </w:rPr>
            </w:pPr>
            <w:r w:rsidRPr="00483285">
              <w:rPr>
                <w:rFonts w:ascii="Times New Roman" w:hAnsi="Times New Roman" w:cs="Times New Roman"/>
                <w:b/>
                <w:sz w:val="20"/>
                <w:szCs w:val="20"/>
                <w:lang w:val="en-GB" w:eastAsia="fr-FR"/>
              </w:rPr>
              <w:t>All</w:t>
            </w:r>
          </w:p>
        </w:tc>
        <w:tc>
          <w:tcPr>
            <w:tcW w:w="1247" w:type="dxa"/>
            <w:shd w:val="clear" w:color="auto" w:fill="auto"/>
            <w:vAlign w:val="center"/>
          </w:tcPr>
          <w:p w14:paraId="461C98C9" w14:textId="77777777" w:rsidR="006E5120" w:rsidRPr="00483285" w:rsidRDefault="006E5120" w:rsidP="000A6806">
            <w:pPr>
              <w:spacing w:after="0" w:line="240" w:lineRule="auto"/>
              <w:jc w:val="center"/>
              <w:rPr>
                <w:rFonts w:ascii="Times New Roman" w:hAnsi="Times New Roman" w:cs="Times New Roman"/>
                <w:b/>
                <w:sz w:val="20"/>
                <w:szCs w:val="20"/>
                <w:lang w:val="en-GB" w:eastAsia="fr-FR"/>
              </w:rPr>
            </w:pPr>
            <w:r w:rsidRPr="00483285">
              <w:rPr>
                <w:rFonts w:ascii="Times New Roman" w:hAnsi="Times New Roman" w:cs="Times New Roman"/>
                <w:b/>
                <w:sz w:val="20"/>
                <w:szCs w:val="20"/>
                <w:lang w:val="en-GB"/>
              </w:rPr>
              <w:t>1.041 ± 0.027</w:t>
            </w:r>
          </w:p>
        </w:tc>
        <w:tc>
          <w:tcPr>
            <w:tcW w:w="1247" w:type="dxa"/>
            <w:shd w:val="clear" w:color="auto" w:fill="auto"/>
            <w:vAlign w:val="center"/>
          </w:tcPr>
          <w:p w14:paraId="521E32A8" w14:textId="77777777" w:rsidR="006E5120" w:rsidRPr="00483285" w:rsidRDefault="006E5120" w:rsidP="000A6806">
            <w:pPr>
              <w:spacing w:after="0" w:line="240" w:lineRule="auto"/>
              <w:jc w:val="center"/>
              <w:rPr>
                <w:rFonts w:ascii="Times New Roman" w:hAnsi="Times New Roman" w:cs="Times New Roman"/>
                <w:b/>
                <w:sz w:val="20"/>
                <w:szCs w:val="20"/>
                <w:lang w:val="en-GB" w:eastAsia="fr-FR"/>
              </w:rPr>
            </w:pPr>
            <w:r w:rsidRPr="00483285">
              <w:rPr>
                <w:rFonts w:ascii="Times New Roman" w:hAnsi="Times New Roman" w:cs="Times New Roman"/>
                <w:b/>
                <w:sz w:val="20"/>
                <w:szCs w:val="20"/>
                <w:lang w:val="en-GB"/>
              </w:rPr>
              <w:t>1.68 ± 0.29</w:t>
            </w:r>
          </w:p>
        </w:tc>
        <w:tc>
          <w:tcPr>
            <w:tcW w:w="1247" w:type="dxa"/>
            <w:vAlign w:val="center"/>
          </w:tcPr>
          <w:p w14:paraId="6B8A367D" w14:textId="77777777" w:rsidR="006E5120" w:rsidRPr="00483285" w:rsidRDefault="006E5120" w:rsidP="000A6806">
            <w:pPr>
              <w:spacing w:after="0" w:line="240" w:lineRule="auto"/>
              <w:jc w:val="center"/>
              <w:rPr>
                <w:rFonts w:ascii="Times New Roman" w:hAnsi="Times New Roman" w:cs="Times New Roman"/>
                <w:b/>
                <w:sz w:val="20"/>
                <w:szCs w:val="20"/>
                <w:lang w:val="en-GB" w:eastAsia="fr-FR"/>
              </w:rPr>
            </w:pPr>
            <w:r w:rsidRPr="00483285">
              <w:rPr>
                <w:rFonts w:ascii="Times New Roman" w:hAnsi="Times New Roman" w:cs="Times New Roman"/>
                <w:b/>
                <w:sz w:val="20"/>
                <w:szCs w:val="20"/>
                <w:lang w:val="en-GB"/>
              </w:rPr>
              <w:t>1241 ± 97</w:t>
            </w:r>
          </w:p>
        </w:tc>
        <w:tc>
          <w:tcPr>
            <w:tcW w:w="1701" w:type="dxa"/>
            <w:vAlign w:val="center"/>
          </w:tcPr>
          <w:p w14:paraId="305942FC" w14:textId="77777777" w:rsidR="006E5120" w:rsidRPr="00483285" w:rsidRDefault="006E5120" w:rsidP="000A6806">
            <w:pPr>
              <w:spacing w:after="0" w:line="240" w:lineRule="auto"/>
              <w:jc w:val="center"/>
              <w:rPr>
                <w:rFonts w:ascii="Times New Roman" w:hAnsi="Times New Roman" w:cs="Times New Roman"/>
                <w:b/>
                <w:sz w:val="20"/>
                <w:szCs w:val="20"/>
                <w:lang w:val="en-GB" w:eastAsia="fr-FR"/>
              </w:rPr>
            </w:pPr>
            <w:r w:rsidRPr="00483285">
              <w:rPr>
                <w:rFonts w:ascii="Times New Roman" w:hAnsi="Times New Roman" w:cs="Times New Roman"/>
                <w:b/>
                <w:sz w:val="20"/>
                <w:szCs w:val="20"/>
                <w:lang w:val="en-GB" w:eastAsia="fr-FR"/>
              </w:rPr>
              <w:t>0.70 (&lt;0.001)</w:t>
            </w:r>
          </w:p>
        </w:tc>
      </w:tr>
      <w:tr w:rsidR="006E5120" w:rsidRPr="00483285" w14:paraId="46059B88" w14:textId="77777777" w:rsidTr="000A6806">
        <w:trPr>
          <w:trHeight w:hRule="exact" w:val="624"/>
          <w:jc w:val="center"/>
        </w:trPr>
        <w:tc>
          <w:tcPr>
            <w:tcW w:w="1701" w:type="dxa"/>
            <w:shd w:val="clear" w:color="auto" w:fill="auto"/>
            <w:vAlign w:val="center"/>
          </w:tcPr>
          <w:p w14:paraId="1939C709" w14:textId="77777777" w:rsidR="006E5120" w:rsidRPr="00483285" w:rsidRDefault="006E5120" w:rsidP="000A6806">
            <w:pPr>
              <w:spacing w:after="0" w:line="240" w:lineRule="auto"/>
              <w:rPr>
                <w:rFonts w:ascii="Times New Roman" w:hAnsi="Times New Roman" w:cs="Times New Roman"/>
                <w:b/>
                <w:sz w:val="20"/>
                <w:szCs w:val="20"/>
                <w:lang w:val="en-GB" w:eastAsia="fr-FR"/>
              </w:rPr>
            </w:pPr>
            <w:r w:rsidRPr="00483285">
              <w:rPr>
                <w:rFonts w:ascii="Times New Roman" w:hAnsi="Times New Roman" w:cs="Times New Roman"/>
                <w:b/>
                <w:sz w:val="20"/>
                <w:szCs w:val="20"/>
                <w:lang w:val="en-GB" w:eastAsia="fr-FR"/>
              </w:rPr>
              <w:t>400/20+800/20</w:t>
            </w:r>
          </w:p>
        </w:tc>
        <w:tc>
          <w:tcPr>
            <w:tcW w:w="1247" w:type="dxa"/>
            <w:shd w:val="clear" w:color="auto" w:fill="auto"/>
            <w:vAlign w:val="center"/>
          </w:tcPr>
          <w:p w14:paraId="58957052" w14:textId="77777777" w:rsidR="006E5120" w:rsidRPr="00483285" w:rsidRDefault="006E5120" w:rsidP="000A6806">
            <w:pPr>
              <w:spacing w:after="0" w:line="240" w:lineRule="auto"/>
              <w:jc w:val="center"/>
              <w:rPr>
                <w:rFonts w:ascii="Times New Roman" w:hAnsi="Times New Roman" w:cs="Times New Roman"/>
                <w:b/>
                <w:sz w:val="20"/>
                <w:szCs w:val="20"/>
                <w:lang w:val="en-GB" w:eastAsia="fr-FR"/>
              </w:rPr>
            </w:pPr>
            <w:r w:rsidRPr="00483285">
              <w:rPr>
                <w:rFonts w:ascii="Times New Roman" w:hAnsi="Times New Roman" w:cs="Times New Roman"/>
                <w:b/>
                <w:sz w:val="20"/>
                <w:szCs w:val="20"/>
                <w:lang w:val="en-GB"/>
              </w:rPr>
              <w:t>0.985 ± 0.028</w:t>
            </w:r>
          </w:p>
        </w:tc>
        <w:tc>
          <w:tcPr>
            <w:tcW w:w="1247" w:type="dxa"/>
            <w:shd w:val="clear" w:color="auto" w:fill="auto"/>
            <w:vAlign w:val="center"/>
          </w:tcPr>
          <w:p w14:paraId="7802E1A3" w14:textId="77777777" w:rsidR="006E5120" w:rsidRPr="00483285" w:rsidRDefault="006E5120" w:rsidP="000A6806">
            <w:pPr>
              <w:spacing w:after="0" w:line="240" w:lineRule="auto"/>
              <w:jc w:val="center"/>
              <w:rPr>
                <w:rFonts w:ascii="Times New Roman" w:hAnsi="Times New Roman" w:cs="Times New Roman"/>
                <w:b/>
                <w:sz w:val="20"/>
                <w:szCs w:val="20"/>
                <w:lang w:val="en-GB" w:eastAsia="fr-FR"/>
              </w:rPr>
            </w:pPr>
            <w:r w:rsidRPr="00483285">
              <w:rPr>
                <w:rFonts w:ascii="Times New Roman" w:hAnsi="Times New Roman" w:cs="Times New Roman"/>
                <w:b/>
                <w:sz w:val="20"/>
                <w:szCs w:val="20"/>
                <w:lang w:val="en-GB"/>
              </w:rPr>
              <w:t>1.71 ± 0.62</w:t>
            </w:r>
          </w:p>
        </w:tc>
        <w:tc>
          <w:tcPr>
            <w:tcW w:w="1247" w:type="dxa"/>
            <w:vAlign w:val="center"/>
          </w:tcPr>
          <w:p w14:paraId="219720FA" w14:textId="77777777" w:rsidR="006E5120" w:rsidRPr="00483285" w:rsidRDefault="006E5120" w:rsidP="000A6806">
            <w:pPr>
              <w:spacing w:after="0" w:line="240" w:lineRule="auto"/>
              <w:jc w:val="center"/>
              <w:rPr>
                <w:rFonts w:ascii="Times New Roman" w:hAnsi="Times New Roman" w:cs="Times New Roman"/>
                <w:b/>
                <w:sz w:val="20"/>
                <w:szCs w:val="20"/>
                <w:lang w:val="en-GB" w:eastAsia="fr-FR"/>
              </w:rPr>
            </w:pPr>
            <w:r w:rsidRPr="00483285">
              <w:rPr>
                <w:rFonts w:ascii="Times New Roman" w:hAnsi="Times New Roman" w:cs="Times New Roman"/>
                <w:b/>
                <w:sz w:val="20"/>
                <w:szCs w:val="20"/>
                <w:lang w:val="en-GB"/>
              </w:rPr>
              <w:t>1933 ± 522</w:t>
            </w:r>
            <w:r w:rsidRPr="00483285">
              <w:rPr>
                <w:rFonts w:ascii="Times New Roman" w:hAnsi="Times New Roman" w:cs="Times New Roman"/>
                <w:b/>
                <w:sz w:val="20"/>
                <w:szCs w:val="20"/>
                <w:lang w:val="en-GB" w:eastAsia="fr-FR"/>
              </w:rPr>
              <w:t xml:space="preserve"> </w:t>
            </w:r>
          </w:p>
        </w:tc>
        <w:tc>
          <w:tcPr>
            <w:tcW w:w="1701" w:type="dxa"/>
            <w:vAlign w:val="center"/>
          </w:tcPr>
          <w:p w14:paraId="3DD8ECEA" w14:textId="77777777" w:rsidR="006E5120" w:rsidRPr="00483285" w:rsidRDefault="006E5120" w:rsidP="000A6806">
            <w:pPr>
              <w:spacing w:after="0" w:line="240" w:lineRule="auto"/>
              <w:jc w:val="center"/>
              <w:rPr>
                <w:rFonts w:ascii="Times New Roman" w:hAnsi="Times New Roman" w:cs="Times New Roman"/>
                <w:b/>
                <w:sz w:val="20"/>
                <w:szCs w:val="20"/>
                <w:lang w:val="en-GB" w:eastAsia="fr-FR"/>
              </w:rPr>
            </w:pPr>
            <w:r w:rsidRPr="00483285">
              <w:rPr>
                <w:rFonts w:ascii="Times New Roman" w:hAnsi="Times New Roman" w:cs="Times New Roman"/>
                <w:b/>
                <w:sz w:val="20"/>
                <w:szCs w:val="20"/>
                <w:lang w:val="en-GB" w:eastAsia="fr-FR"/>
              </w:rPr>
              <w:t>0.54 (&lt;0.001)</w:t>
            </w:r>
          </w:p>
        </w:tc>
      </w:tr>
      <w:tr w:rsidR="006E5120" w:rsidRPr="00483285" w14:paraId="1B704C1E" w14:textId="77777777" w:rsidTr="000A6806">
        <w:trPr>
          <w:trHeight w:hRule="exact" w:val="624"/>
          <w:jc w:val="center"/>
        </w:trPr>
        <w:tc>
          <w:tcPr>
            <w:tcW w:w="1701" w:type="dxa"/>
            <w:shd w:val="clear" w:color="auto" w:fill="auto"/>
            <w:vAlign w:val="center"/>
          </w:tcPr>
          <w:p w14:paraId="602C9808" w14:textId="77777777" w:rsidR="006E5120" w:rsidRPr="00483285" w:rsidRDefault="006E5120" w:rsidP="000A6806">
            <w:pPr>
              <w:spacing w:after="0" w:line="240" w:lineRule="auto"/>
              <w:rPr>
                <w:rFonts w:ascii="Times New Roman" w:hAnsi="Times New Roman" w:cs="Times New Roman"/>
                <w:b/>
                <w:sz w:val="20"/>
                <w:szCs w:val="20"/>
                <w:lang w:val="en-GB" w:eastAsia="fr-FR"/>
              </w:rPr>
            </w:pPr>
            <w:r w:rsidRPr="00483285">
              <w:rPr>
                <w:rFonts w:ascii="Times New Roman" w:hAnsi="Times New Roman" w:cs="Times New Roman"/>
                <w:b/>
                <w:sz w:val="20"/>
                <w:szCs w:val="20"/>
                <w:lang w:val="en-GB" w:eastAsia="fr-FR"/>
              </w:rPr>
              <w:t>400/25+800/25</w:t>
            </w:r>
          </w:p>
        </w:tc>
        <w:tc>
          <w:tcPr>
            <w:tcW w:w="1247" w:type="dxa"/>
            <w:shd w:val="clear" w:color="auto" w:fill="auto"/>
            <w:vAlign w:val="center"/>
          </w:tcPr>
          <w:p w14:paraId="29D14CC4" w14:textId="77777777" w:rsidR="006E5120" w:rsidRPr="00483285" w:rsidRDefault="006E5120" w:rsidP="000A6806">
            <w:pPr>
              <w:spacing w:after="0" w:line="240" w:lineRule="auto"/>
              <w:jc w:val="center"/>
              <w:rPr>
                <w:rFonts w:ascii="Times New Roman" w:hAnsi="Times New Roman" w:cs="Times New Roman"/>
                <w:b/>
                <w:sz w:val="20"/>
                <w:szCs w:val="20"/>
                <w:lang w:val="en-GB" w:eastAsia="fr-FR"/>
              </w:rPr>
            </w:pPr>
            <w:r w:rsidRPr="00483285">
              <w:rPr>
                <w:rFonts w:ascii="Times New Roman" w:hAnsi="Times New Roman" w:cs="Times New Roman"/>
                <w:b/>
                <w:sz w:val="20"/>
                <w:szCs w:val="20"/>
                <w:lang w:val="en-GB"/>
              </w:rPr>
              <w:t>1.109 ± 0.046</w:t>
            </w:r>
          </w:p>
        </w:tc>
        <w:tc>
          <w:tcPr>
            <w:tcW w:w="1247" w:type="dxa"/>
            <w:shd w:val="clear" w:color="auto" w:fill="auto"/>
            <w:vAlign w:val="center"/>
          </w:tcPr>
          <w:p w14:paraId="5D7AB738" w14:textId="77777777" w:rsidR="006E5120" w:rsidRPr="00483285" w:rsidRDefault="006E5120" w:rsidP="000A6806">
            <w:pPr>
              <w:spacing w:after="0" w:line="240" w:lineRule="auto"/>
              <w:jc w:val="center"/>
              <w:rPr>
                <w:rFonts w:ascii="Times New Roman" w:hAnsi="Times New Roman" w:cs="Times New Roman"/>
                <w:b/>
                <w:sz w:val="20"/>
                <w:szCs w:val="20"/>
                <w:lang w:val="en-GB" w:eastAsia="fr-FR"/>
              </w:rPr>
            </w:pPr>
            <w:r w:rsidRPr="00483285">
              <w:rPr>
                <w:rFonts w:ascii="Times New Roman" w:hAnsi="Times New Roman" w:cs="Times New Roman"/>
                <w:b/>
                <w:sz w:val="20"/>
                <w:szCs w:val="20"/>
                <w:lang w:val="en-GB"/>
              </w:rPr>
              <w:t>1.57 ± 0.30</w:t>
            </w:r>
          </w:p>
        </w:tc>
        <w:tc>
          <w:tcPr>
            <w:tcW w:w="1247" w:type="dxa"/>
            <w:vAlign w:val="center"/>
          </w:tcPr>
          <w:p w14:paraId="47D3CC24" w14:textId="77777777" w:rsidR="006E5120" w:rsidRPr="00483285" w:rsidRDefault="006E5120" w:rsidP="000A6806">
            <w:pPr>
              <w:spacing w:after="0" w:line="240" w:lineRule="auto"/>
              <w:jc w:val="center"/>
              <w:rPr>
                <w:rFonts w:ascii="Times New Roman" w:hAnsi="Times New Roman" w:cs="Times New Roman"/>
                <w:b/>
                <w:sz w:val="20"/>
                <w:szCs w:val="20"/>
                <w:lang w:val="en-GB" w:eastAsia="fr-FR"/>
              </w:rPr>
            </w:pPr>
            <w:r w:rsidRPr="00483285">
              <w:rPr>
                <w:rFonts w:ascii="Times New Roman" w:hAnsi="Times New Roman" w:cs="Times New Roman"/>
                <w:b/>
                <w:sz w:val="20"/>
                <w:szCs w:val="20"/>
                <w:lang w:val="en-GB"/>
              </w:rPr>
              <w:t>938 ± 78</w:t>
            </w:r>
          </w:p>
        </w:tc>
        <w:tc>
          <w:tcPr>
            <w:tcW w:w="1701" w:type="dxa"/>
            <w:vAlign w:val="center"/>
          </w:tcPr>
          <w:p w14:paraId="234B5107" w14:textId="77777777" w:rsidR="006E5120" w:rsidRPr="00483285" w:rsidRDefault="006E5120" w:rsidP="000A6806">
            <w:pPr>
              <w:spacing w:after="0" w:line="240" w:lineRule="auto"/>
              <w:jc w:val="center"/>
              <w:rPr>
                <w:rFonts w:ascii="Times New Roman" w:hAnsi="Times New Roman" w:cs="Times New Roman"/>
                <w:b/>
                <w:sz w:val="20"/>
                <w:szCs w:val="20"/>
                <w:lang w:val="en-GB"/>
              </w:rPr>
            </w:pPr>
            <w:r w:rsidRPr="00483285">
              <w:rPr>
                <w:rFonts w:ascii="Times New Roman" w:hAnsi="Times New Roman" w:cs="Times New Roman"/>
                <w:b/>
                <w:sz w:val="20"/>
                <w:szCs w:val="20"/>
                <w:lang w:val="en-GB" w:eastAsia="fr-FR"/>
              </w:rPr>
              <w:t>0.80 (&lt;0.001)</w:t>
            </w:r>
          </w:p>
        </w:tc>
      </w:tr>
      <w:tr w:rsidR="006E5120" w:rsidRPr="00483285" w14:paraId="6497FDD5" w14:textId="77777777" w:rsidTr="000A6806">
        <w:trPr>
          <w:trHeight w:hRule="exact" w:val="624"/>
          <w:jc w:val="center"/>
        </w:trPr>
        <w:tc>
          <w:tcPr>
            <w:tcW w:w="1701" w:type="dxa"/>
            <w:tcBorders>
              <w:bottom w:val="single" w:sz="4" w:space="0" w:color="auto"/>
            </w:tcBorders>
            <w:shd w:val="clear" w:color="auto" w:fill="auto"/>
            <w:vAlign w:val="center"/>
          </w:tcPr>
          <w:p w14:paraId="3E24D4D2" w14:textId="77777777" w:rsidR="006E5120" w:rsidRPr="00483285" w:rsidRDefault="006E5120" w:rsidP="000A6806">
            <w:pPr>
              <w:spacing w:after="0" w:line="240" w:lineRule="auto"/>
              <w:rPr>
                <w:rFonts w:ascii="Times New Roman" w:hAnsi="Times New Roman" w:cs="Times New Roman"/>
                <w:b/>
                <w:sz w:val="20"/>
                <w:szCs w:val="20"/>
                <w:lang w:val="en-GB" w:eastAsia="fr-FR"/>
              </w:rPr>
            </w:pPr>
            <w:r w:rsidRPr="00483285">
              <w:rPr>
                <w:rFonts w:ascii="Times New Roman" w:hAnsi="Times New Roman" w:cs="Times New Roman"/>
                <w:b/>
                <w:sz w:val="20"/>
                <w:szCs w:val="20"/>
                <w:lang w:val="en-GB" w:eastAsia="fr-FR"/>
              </w:rPr>
              <w:t>MEGAN</w:t>
            </w:r>
          </w:p>
        </w:tc>
        <w:tc>
          <w:tcPr>
            <w:tcW w:w="1247" w:type="dxa"/>
            <w:tcBorders>
              <w:bottom w:val="single" w:sz="4" w:space="0" w:color="auto"/>
            </w:tcBorders>
            <w:shd w:val="clear" w:color="auto" w:fill="auto"/>
            <w:vAlign w:val="center"/>
          </w:tcPr>
          <w:p w14:paraId="26053F6D" w14:textId="77777777" w:rsidR="006E5120" w:rsidRPr="00483285" w:rsidRDefault="006E5120" w:rsidP="000A6806">
            <w:pPr>
              <w:spacing w:after="0" w:line="240" w:lineRule="auto"/>
              <w:jc w:val="center"/>
              <w:rPr>
                <w:rFonts w:ascii="Times New Roman" w:hAnsi="Times New Roman" w:cs="Times New Roman"/>
                <w:b/>
                <w:sz w:val="20"/>
                <w:szCs w:val="20"/>
                <w:lang w:val="en-GB"/>
              </w:rPr>
            </w:pPr>
            <w:r w:rsidRPr="00483285">
              <w:rPr>
                <w:rFonts w:ascii="Times New Roman" w:hAnsi="Times New Roman" w:cs="Times New Roman"/>
                <w:b/>
                <w:sz w:val="20"/>
                <w:szCs w:val="20"/>
                <w:lang w:val="en-GB"/>
              </w:rPr>
              <w:t>1.072</w:t>
            </w:r>
          </w:p>
        </w:tc>
        <w:tc>
          <w:tcPr>
            <w:tcW w:w="1247" w:type="dxa"/>
            <w:tcBorders>
              <w:bottom w:val="single" w:sz="4" w:space="0" w:color="auto"/>
            </w:tcBorders>
            <w:shd w:val="clear" w:color="auto" w:fill="auto"/>
            <w:vAlign w:val="center"/>
          </w:tcPr>
          <w:p w14:paraId="325F08D9" w14:textId="77777777" w:rsidR="006E5120" w:rsidRPr="00483285" w:rsidRDefault="006E5120" w:rsidP="000A6806">
            <w:pPr>
              <w:spacing w:after="0" w:line="240" w:lineRule="auto"/>
              <w:jc w:val="center"/>
              <w:rPr>
                <w:rFonts w:ascii="Times New Roman" w:hAnsi="Times New Roman" w:cs="Times New Roman"/>
                <w:b/>
                <w:sz w:val="20"/>
                <w:szCs w:val="20"/>
                <w:lang w:val="en-GB"/>
              </w:rPr>
            </w:pPr>
            <w:r w:rsidRPr="00483285">
              <w:rPr>
                <w:rFonts w:ascii="Times New Roman" w:hAnsi="Times New Roman" w:cs="Times New Roman"/>
                <w:b/>
                <w:sz w:val="20"/>
                <w:szCs w:val="20"/>
                <w:lang w:val="en-GB"/>
              </w:rPr>
              <w:t>1.70</w:t>
            </w:r>
          </w:p>
        </w:tc>
        <w:tc>
          <w:tcPr>
            <w:tcW w:w="1247" w:type="dxa"/>
            <w:tcBorders>
              <w:bottom w:val="single" w:sz="4" w:space="0" w:color="auto"/>
            </w:tcBorders>
            <w:vAlign w:val="center"/>
          </w:tcPr>
          <w:p w14:paraId="02E334EB" w14:textId="77777777" w:rsidR="006E5120" w:rsidRPr="00483285" w:rsidRDefault="006E5120" w:rsidP="000A6806">
            <w:pPr>
              <w:spacing w:after="0" w:line="240" w:lineRule="auto"/>
              <w:jc w:val="center"/>
              <w:rPr>
                <w:rFonts w:ascii="Times New Roman" w:hAnsi="Times New Roman" w:cs="Times New Roman"/>
                <w:b/>
                <w:sz w:val="20"/>
                <w:szCs w:val="20"/>
                <w:lang w:val="en-GB"/>
              </w:rPr>
            </w:pPr>
            <w:r w:rsidRPr="00483285">
              <w:rPr>
                <w:rFonts w:ascii="Times New Roman" w:hAnsi="Times New Roman" w:cs="Times New Roman"/>
                <w:b/>
                <w:sz w:val="20"/>
                <w:szCs w:val="20"/>
                <w:lang w:val="en-GB"/>
              </w:rPr>
              <w:t>1218</w:t>
            </w:r>
          </w:p>
        </w:tc>
        <w:tc>
          <w:tcPr>
            <w:tcW w:w="1701" w:type="dxa"/>
            <w:tcBorders>
              <w:bottom w:val="single" w:sz="4" w:space="0" w:color="auto"/>
            </w:tcBorders>
            <w:vAlign w:val="center"/>
          </w:tcPr>
          <w:p w14:paraId="6171C4CE" w14:textId="77777777" w:rsidR="006E5120" w:rsidRPr="00483285" w:rsidRDefault="006E5120" w:rsidP="000A6806">
            <w:pPr>
              <w:spacing w:after="0" w:line="240" w:lineRule="auto"/>
              <w:jc w:val="center"/>
              <w:rPr>
                <w:rFonts w:ascii="Times New Roman" w:hAnsi="Times New Roman" w:cs="Times New Roman"/>
                <w:b/>
                <w:sz w:val="20"/>
                <w:szCs w:val="20"/>
                <w:lang w:val="en-GB" w:eastAsia="fr-FR"/>
              </w:rPr>
            </w:pPr>
          </w:p>
        </w:tc>
      </w:tr>
    </w:tbl>
    <w:p w14:paraId="35F1D3E8" w14:textId="77777777" w:rsidR="006E5120" w:rsidRPr="00483285" w:rsidRDefault="006E5120" w:rsidP="006E5120">
      <w:pPr>
        <w:spacing w:after="0" w:line="360" w:lineRule="auto"/>
        <w:jc w:val="both"/>
        <w:rPr>
          <w:rFonts w:ascii="Times New Roman" w:hAnsi="Times New Roman" w:cs="Times New Roman"/>
          <w:sz w:val="20"/>
          <w:szCs w:val="20"/>
          <w:lang w:val="en-GB"/>
        </w:rPr>
      </w:pPr>
    </w:p>
    <w:p w14:paraId="5E57BDD8" w14:textId="671AF8AF" w:rsidR="006E5120" w:rsidRDefault="006E5120" w:rsidP="00014C1A">
      <w:pPr>
        <w:spacing w:after="120"/>
        <w:rPr>
          <w:rFonts w:ascii="Times New Roman" w:hAnsi="Times New Roman" w:cs="Times New Roman"/>
          <w:b/>
          <w:sz w:val="20"/>
          <w:szCs w:val="20"/>
          <w:lang w:val="en-GB"/>
        </w:rPr>
      </w:pPr>
    </w:p>
    <w:p w14:paraId="10C33D06" w14:textId="77777777" w:rsidR="006E5120" w:rsidRDefault="006E5120" w:rsidP="00014C1A">
      <w:pPr>
        <w:spacing w:after="120"/>
        <w:rPr>
          <w:rFonts w:ascii="Times New Roman" w:hAnsi="Times New Roman" w:cs="Times New Roman"/>
          <w:b/>
          <w:sz w:val="20"/>
          <w:szCs w:val="20"/>
          <w:lang w:val="en-GB"/>
        </w:rPr>
      </w:pPr>
    </w:p>
    <w:p w14:paraId="46D81968" w14:textId="77777777" w:rsidR="006E5120" w:rsidRDefault="006E5120">
      <w:pPr>
        <w:rPr>
          <w:rFonts w:ascii="Times New Roman" w:hAnsi="Times New Roman" w:cs="Times New Roman"/>
          <w:b/>
          <w:sz w:val="20"/>
          <w:szCs w:val="20"/>
          <w:lang w:val="en-US"/>
        </w:rPr>
      </w:pPr>
      <w:r>
        <w:rPr>
          <w:rFonts w:ascii="Times New Roman" w:hAnsi="Times New Roman" w:cs="Times New Roman"/>
          <w:b/>
          <w:sz w:val="20"/>
          <w:szCs w:val="20"/>
          <w:lang w:val="en-US"/>
        </w:rPr>
        <w:br w:type="page"/>
      </w:r>
    </w:p>
    <w:p w14:paraId="4A05F101" w14:textId="2D08D4CA" w:rsidR="00B51DBF" w:rsidRPr="00AA3528" w:rsidRDefault="00AA3528" w:rsidP="00014C1A">
      <w:pPr>
        <w:spacing w:after="120"/>
        <w:rPr>
          <w:rFonts w:ascii="Times New Roman" w:hAnsi="Times New Roman" w:cs="Times New Roman"/>
          <w:b/>
          <w:sz w:val="20"/>
          <w:szCs w:val="20"/>
          <w:lang w:val="en-US"/>
        </w:rPr>
      </w:pPr>
      <w:r w:rsidRPr="00AA3528">
        <w:rPr>
          <w:rFonts w:ascii="Times New Roman" w:hAnsi="Times New Roman" w:cs="Times New Roman"/>
          <w:b/>
          <w:sz w:val="20"/>
          <w:szCs w:val="20"/>
          <w:lang w:val="en-US"/>
        </w:rPr>
        <w:lastRenderedPageBreak/>
        <w:t>Description</w:t>
      </w:r>
      <w:r w:rsidR="006E5120">
        <w:rPr>
          <w:rFonts w:ascii="Times New Roman" w:hAnsi="Times New Roman" w:cs="Times New Roman"/>
          <w:b/>
          <w:sz w:val="20"/>
          <w:szCs w:val="20"/>
          <w:lang w:val="en-US"/>
        </w:rPr>
        <w:t xml:space="preserve"> of the simulation approach </w:t>
      </w:r>
    </w:p>
    <w:p w14:paraId="19DEF575" w14:textId="77777777" w:rsidR="00AA3528" w:rsidRPr="00AA3528" w:rsidRDefault="00AA3528" w:rsidP="00014C1A">
      <w:pPr>
        <w:spacing w:after="120"/>
        <w:jc w:val="both"/>
        <w:rPr>
          <w:rFonts w:ascii="Times New Roman" w:hAnsi="Times New Roman" w:cs="Times New Roman"/>
          <w:color w:val="000000"/>
          <w:sz w:val="20"/>
          <w:szCs w:val="20"/>
          <w:lang w:val="en-US" w:eastAsia="fr-FR"/>
        </w:rPr>
      </w:pPr>
      <w:r w:rsidRPr="00AA3528">
        <w:rPr>
          <w:rFonts w:ascii="Times New Roman" w:hAnsi="Times New Roman" w:cs="Times New Roman"/>
          <w:color w:val="000000"/>
          <w:sz w:val="20"/>
          <w:szCs w:val="20"/>
          <w:lang w:val="en-US" w:eastAsia="fr-FR"/>
        </w:rPr>
        <w:t>To better understand the relative importance of CO</w:t>
      </w:r>
      <w:r w:rsidRPr="00AA3528">
        <w:rPr>
          <w:rFonts w:ascii="Times New Roman" w:hAnsi="Times New Roman" w:cs="Times New Roman"/>
          <w:color w:val="000000"/>
          <w:sz w:val="20"/>
          <w:szCs w:val="20"/>
          <w:vertAlign w:val="subscript"/>
          <w:lang w:val="en-US" w:eastAsia="fr-FR"/>
        </w:rPr>
        <w:t>2</w:t>
      </w:r>
      <w:r w:rsidRPr="00AA3528">
        <w:rPr>
          <w:rFonts w:ascii="Times New Roman" w:hAnsi="Times New Roman" w:cs="Times New Roman"/>
          <w:color w:val="000000"/>
          <w:sz w:val="20"/>
          <w:szCs w:val="20"/>
          <w:lang w:val="en-US" w:eastAsia="fr-FR"/>
        </w:rPr>
        <w:t xml:space="preserve"> inhibition in interaction with other co-determinants of leaf MT-emissions from QI, we computed annual emissions by combining eight high-CO</w:t>
      </w:r>
      <w:r w:rsidRPr="00AA3528">
        <w:rPr>
          <w:rFonts w:ascii="Times New Roman" w:hAnsi="Times New Roman" w:cs="Times New Roman"/>
          <w:color w:val="000000"/>
          <w:sz w:val="20"/>
          <w:szCs w:val="20"/>
          <w:vertAlign w:val="subscript"/>
          <w:lang w:val="en-US" w:eastAsia="fr-FR"/>
        </w:rPr>
        <w:t>2</w:t>
      </w:r>
      <w:r w:rsidRPr="00AA3528">
        <w:rPr>
          <w:rFonts w:ascii="Times New Roman" w:hAnsi="Times New Roman" w:cs="Times New Roman"/>
          <w:color w:val="000000"/>
          <w:sz w:val="20"/>
          <w:szCs w:val="20"/>
          <w:lang w:val="en-US" w:eastAsia="fr-FR"/>
        </w:rPr>
        <w:t>-inhibition scenarios differing in their maximum high-CO</w:t>
      </w:r>
      <w:r w:rsidRPr="00AA3528">
        <w:rPr>
          <w:rFonts w:ascii="Times New Roman" w:hAnsi="Times New Roman" w:cs="Times New Roman"/>
          <w:color w:val="000000"/>
          <w:sz w:val="20"/>
          <w:szCs w:val="20"/>
          <w:vertAlign w:val="subscript"/>
          <w:lang w:val="en-US" w:eastAsia="fr-FR"/>
        </w:rPr>
        <w:t>2</w:t>
      </w:r>
      <w:r w:rsidRPr="00AA3528">
        <w:rPr>
          <w:rFonts w:ascii="Times New Roman" w:hAnsi="Times New Roman" w:cs="Times New Roman"/>
          <w:color w:val="000000"/>
          <w:sz w:val="20"/>
          <w:szCs w:val="20"/>
          <w:lang w:val="en-US" w:eastAsia="fr-FR"/>
        </w:rPr>
        <w:t xml:space="preserve"> inhibition with four warming scenarios (1-4 °C warming) and three scenarios of EF seasonality (seasonality without and with summer drought, no seasonality) according the following approach:</w:t>
      </w:r>
    </w:p>
    <w:p w14:paraId="197B485F" w14:textId="18153F2B" w:rsidR="00AA3528" w:rsidRPr="00014C1A" w:rsidRDefault="00014C1A" w:rsidP="00014C1A">
      <w:pPr>
        <w:spacing w:after="120"/>
        <w:rPr>
          <w:rFonts w:ascii="Times New Roman" w:eastAsiaTheme="minorEastAsia" w:hAnsi="Times New Roman" w:cs="Times New Roman"/>
          <w:b/>
          <w:sz w:val="20"/>
          <w:szCs w:val="20"/>
          <w:lang w:val="en-US"/>
        </w:rPr>
      </w:pPr>
      <m:oMath>
        <m:r>
          <m:rPr>
            <m:sty m:val="bi"/>
          </m:rPr>
          <w:rPr>
            <w:rFonts w:ascii="Cambria Math" w:hAnsi="Cambria Math" w:cs="Times New Roman"/>
            <w:sz w:val="20"/>
            <w:szCs w:val="20"/>
            <w:lang w:val="en-US"/>
          </w:rPr>
          <m:t>E</m:t>
        </m:r>
        <m:r>
          <m:rPr>
            <m:sty m:val="b"/>
          </m:rPr>
          <w:rPr>
            <w:rFonts w:ascii="Cambria Math" w:hAnsi="Cambria Math" w:cs="Times New Roman"/>
            <w:sz w:val="20"/>
            <w:szCs w:val="20"/>
            <w:lang w:val="en-US"/>
          </w:rPr>
          <m:t>(</m:t>
        </m:r>
        <m:r>
          <m:rPr>
            <m:sty m:val="bi"/>
          </m:rPr>
          <w:rPr>
            <w:rFonts w:ascii="Cambria Math" w:hAnsi="Cambria Math" w:cs="Times New Roman"/>
            <w:sz w:val="20"/>
            <w:szCs w:val="20"/>
            <w:lang w:val="en-US"/>
          </w:rPr>
          <m:t>EF, CO</m:t>
        </m:r>
        <m:r>
          <m:rPr>
            <m:sty m:val="bi"/>
          </m:rPr>
          <w:rPr>
            <w:rFonts w:ascii="Cambria Math" w:hAnsi="Cambria Math" w:cs="Times New Roman"/>
            <w:sz w:val="20"/>
            <w:szCs w:val="20"/>
            <w:lang w:val="en-US"/>
          </w:rPr>
          <m:t>2, L,T</m:t>
        </m:r>
        <m:r>
          <m:rPr>
            <m:sty m:val="b"/>
          </m:rPr>
          <w:rPr>
            <w:rFonts w:ascii="Cambria Math" w:hAnsi="Cambria Math" w:cs="Times New Roman"/>
            <w:sz w:val="20"/>
            <w:szCs w:val="20"/>
            <w:lang w:val="en-US"/>
          </w:rPr>
          <m:t xml:space="preserve">)= </m:t>
        </m:r>
        <m:r>
          <m:rPr>
            <m:sty m:val="bi"/>
          </m:rPr>
          <w:rPr>
            <w:rFonts w:ascii="Cambria Math" w:hAnsi="Cambria Math" w:cs="Times New Roman"/>
            <w:sz w:val="20"/>
            <w:szCs w:val="20"/>
            <w:lang w:val="en-US"/>
          </w:rPr>
          <m:t>EF(season)×</m:t>
        </m:r>
        <m:sSub>
          <m:sSubPr>
            <m:ctrlPr>
              <w:rPr>
                <w:rFonts w:ascii="Cambria Math" w:hAnsi="Cambria Math" w:cs="Times New Roman"/>
                <w:b/>
                <w:i/>
                <w:sz w:val="20"/>
                <w:szCs w:val="20"/>
              </w:rPr>
            </m:ctrlPr>
          </m:sSubPr>
          <m:e>
            <m:r>
              <m:rPr>
                <m:sty m:val="bi"/>
              </m:rPr>
              <w:rPr>
                <w:rFonts w:ascii="Cambria Math" w:hAnsi="Cambria Math" w:cs="Times New Roman"/>
                <w:sz w:val="20"/>
                <w:szCs w:val="20"/>
              </w:rPr>
              <m:t>C</m:t>
            </m:r>
          </m:e>
          <m:sub>
            <m:r>
              <m:rPr>
                <m:sty m:val="bi"/>
              </m:rPr>
              <w:rPr>
                <w:rFonts w:ascii="Cambria Math" w:hAnsi="Cambria Math" w:cs="Times New Roman"/>
                <w:sz w:val="20"/>
                <w:szCs w:val="20"/>
              </w:rPr>
              <m:t>CO</m:t>
            </m:r>
            <m:r>
              <m:rPr>
                <m:sty m:val="bi"/>
              </m:rPr>
              <w:rPr>
                <w:rFonts w:ascii="Cambria Math" w:hAnsi="Cambria Math" w:cs="Times New Roman"/>
                <w:sz w:val="20"/>
                <w:szCs w:val="20"/>
                <w:lang w:val="en-US"/>
              </w:rPr>
              <m:t>2</m:t>
            </m:r>
          </m:sub>
        </m:sSub>
        <m:r>
          <m:rPr>
            <m:sty m:val="bi"/>
          </m:rPr>
          <w:rPr>
            <w:rFonts w:ascii="Cambria Math" w:hAnsi="Cambria Math" w:cs="Times New Roman"/>
            <w:sz w:val="20"/>
            <w:szCs w:val="20"/>
            <w:lang w:val="en-US"/>
          </w:rPr>
          <m:t>(T)×</m:t>
        </m:r>
        <m:sSub>
          <m:sSubPr>
            <m:ctrlPr>
              <w:rPr>
                <w:rFonts w:ascii="Cambria Math" w:hAnsi="Cambria Math" w:cs="Times New Roman"/>
                <w:b/>
                <w:i/>
                <w:sz w:val="20"/>
                <w:szCs w:val="20"/>
              </w:rPr>
            </m:ctrlPr>
          </m:sSubPr>
          <m:e>
            <m:r>
              <m:rPr>
                <m:sty m:val="bi"/>
              </m:rPr>
              <w:rPr>
                <w:rFonts w:ascii="Cambria Math" w:hAnsi="Cambria Math" w:cs="Times New Roman"/>
                <w:sz w:val="20"/>
                <w:szCs w:val="20"/>
              </w:rPr>
              <m:t>C</m:t>
            </m:r>
          </m:e>
          <m:sub>
            <m:r>
              <m:rPr>
                <m:sty m:val="bi"/>
              </m:rPr>
              <w:rPr>
                <w:rFonts w:ascii="Cambria Math" w:hAnsi="Cambria Math" w:cs="Times New Roman"/>
                <w:sz w:val="20"/>
                <w:szCs w:val="20"/>
              </w:rPr>
              <m:t>L</m:t>
            </m:r>
          </m:sub>
        </m:sSub>
        <m:r>
          <m:rPr>
            <m:sty m:val="bi"/>
          </m:rPr>
          <w:rPr>
            <w:rFonts w:ascii="Cambria Math" w:hAnsi="Cambria Math" w:cs="Times New Roman"/>
            <w:sz w:val="20"/>
            <w:szCs w:val="20"/>
            <w:lang w:val="en-US"/>
          </w:rPr>
          <m:t>×</m:t>
        </m:r>
        <m:sSub>
          <m:sSubPr>
            <m:ctrlPr>
              <w:rPr>
                <w:rFonts w:ascii="Cambria Math" w:hAnsi="Cambria Math" w:cs="Times New Roman"/>
                <w:b/>
                <w:i/>
                <w:sz w:val="20"/>
                <w:szCs w:val="20"/>
              </w:rPr>
            </m:ctrlPr>
          </m:sSubPr>
          <m:e>
            <m:r>
              <m:rPr>
                <m:sty m:val="bi"/>
              </m:rPr>
              <w:rPr>
                <w:rFonts w:ascii="Cambria Math" w:hAnsi="Cambria Math" w:cs="Times New Roman"/>
                <w:sz w:val="20"/>
                <w:szCs w:val="20"/>
              </w:rPr>
              <m:t>C</m:t>
            </m:r>
          </m:e>
          <m:sub>
            <m:r>
              <m:rPr>
                <m:sty m:val="bi"/>
              </m:rPr>
              <w:rPr>
                <w:rFonts w:ascii="Cambria Math" w:hAnsi="Cambria Math" w:cs="Times New Roman"/>
                <w:sz w:val="20"/>
                <w:szCs w:val="20"/>
              </w:rPr>
              <m:t>T</m:t>
            </m:r>
          </m:sub>
        </m:sSub>
        <m:r>
          <m:rPr>
            <m:sty m:val="bi"/>
          </m:rPr>
          <w:rPr>
            <w:rFonts w:ascii="Cambria Math" w:hAnsi="Cambria Math" w:cs="Times New Roman"/>
            <w:sz w:val="20"/>
            <w:szCs w:val="20"/>
            <w:lang w:val="en-US"/>
          </w:rPr>
          <m:t xml:space="preserve"> </m:t>
        </m:r>
      </m:oMath>
      <w:r w:rsidR="00AA3528" w:rsidRPr="00014C1A">
        <w:rPr>
          <w:rFonts w:ascii="Times New Roman" w:eastAsiaTheme="minorEastAsia" w:hAnsi="Times New Roman" w:cs="Times New Roman"/>
          <w:b/>
          <w:sz w:val="20"/>
          <w:szCs w:val="20"/>
          <w:lang w:val="en-US"/>
        </w:rPr>
        <w:tab/>
      </w:r>
      <w:r w:rsidR="00AA3528" w:rsidRPr="00014C1A">
        <w:rPr>
          <w:rFonts w:ascii="Times New Roman" w:eastAsiaTheme="minorEastAsia" w:hAnsi="Times New Roman" w:cs="Times New Roman"/>
          <w:b/>
          <w:sz w:val="20"/>
          <w:szCs w:val="20"/>
          <w:lang w:val="en-US"/>
        </w:rPr>
        <w:tab/>
      </w:r>
      <w:r w:rsidR="00AA3528" w:rsidRPr="00014C1A">
        <w:rPr>
          <w:rFonts w:ascii="Times New Roman" w:eastAsiaTheme="minorEastAsia" w:hAnsi="Times New Roman" w:cs="Times New Roman"/>
          <w:b/>
          <w:sz w:val="20"/>
          <w:szCs w:val="20"/>
          <w:lang w:val="en-US"/>
        </w:rPr>
        <w:tab/>
      </w:r>
      <w:r w:rsidR="00AA3528" w:rsidRPr="00014C1A">
        <w:rPr>
          <w:rFonts w:ascii="Times New Roman" w:eastAsiaTheme="minorEastAsia" w:hAnsi="Times New Roman" w:cs="Times New Roman"/>
          <w:b/>
          <w:sz w:val="20"/>
          <w:szCs w:val="20"/>
          <w:lang w:val="en-US"/>
        </w:rPr>
        <w:tab/>
      </w:r>
    </w:p>
    <w:p w14:paraId="29942733" w14:textId="2496B92C" w:rsidR="00AA3528" w:rsidRPr="00AA3528" w:rsidRDefault="00AA3528" w:rsidP="00014C1A">
      <w:pPr>
        <w:spacing w:after="120"/>
        <w:jc w:val="both"/>
        <w:rPr>
          <w:rFonts w:ascii="Times New Roman" w:hAnsi="Times New Roman" w:cs="Times New Roman"/>
          <w:color w:val="000000"/>
          <w:sz w:val="20"/>
          <w:szCs w:val="20"/>
          <w:lang w:val="en-US" w:eastAsia="fr-FR"/>
        </w:rPr>
      </w:pPr>
      <w:proofErr w:type="gramStart"/>
      <w:r w:rsidRPr="00AA3528">
        <w:rPr>
          <w:rFonts w:ascii="Times New Roman" w:eastAsiaTheme="minorEastAsia" w:hAnsi="Times New Roman" w:cs="Times New Roman"/>
          <w:sz w:val="20"/>
          <w:szCs w:val="20"/>
          <w:lang w:val="en-US"/>
        </w:rPr>
        <w:t>where</w:t>
      </w:r>
      <w:proofErr w:type="gramEnd"/>
      <w:r w:rsidRPr="00AA3528">
        <w:rPr>
          <w:rFonts w:ascii="Times New Roman" w:eastAsiaTheme="minorEastAsia" w:hAnsi="Times New Roman" w:cs="Times New Roman"/>
          <w:sz w:val="20"/>
          <w:szCs w:val="20"/>
          <w:lang w:val="en-US"/>
        </w:rPr>
        <w:t xml:space="preserve"> E(EF,CO</w:t>
      </w:r>
      <w:r w:rsidRPr="00AA3528">
        <w:rPr>
          <w:rFonts w:ascii="Times New Roman" w:eastAsiaTheme="minorEastAsia" w:hAnsi="Times New Roman" w:cs="Times New Roman"/>
          <w:sz w:val="20"/>
          <w:szCs w:val="20"/>
          <w:vertAlign w:val="subscript"/>
          <w:lang w:val="en-US"/>
        </w:rPr>
        <w:t>2</w:t>
      </w:r>
      <w:r w:rsidRPr="00AA3528">
        <w:rPr>
          <w:rFonts w:ascii="Times New Roman" w:eastAsiaTheme="minorEastAsia" w:hAnsi="Times New Roman" w:cs="Times New Roman"/>
          <w:sz w:val="20"/>
          <w:szCs w:val="20"/>
          <w:lang w:val="en-US"/>
        </w:rPr>
        <w:t>,L,T) is the actual emission rate (</w:t>
      </w:r>
      <w:r w:rsidRPr="00AA3528">
        <w:rPr>
          <w:rFonts w:ascii="Times New Roman" w:hAnsi="Times New Roman" w:cs="Times New Roman"/>
          <w:color w:val="000000"/>
          <w:sz w:val="20"/>
          <w:szCs w:val="20"/>
          <w:lang w:val="en-US" w:eastAsia="fr-FR"/>
        </w:rPr>
        <w:t>ng m</w:t>
      </w:r>
      <w:r w:rsidRPr="00AA3528">
        <w:rPr>
          <w:rFonts w:ascii="Times New Roman" w:hAnsi="Times New Roman" w:cs="Times New Roman"/>
          <w:color w:val="000000"/>
          <w:sz w:val="20"/>
          <w:szCs w:val="20"/>
          <w:vertAlign w:val="superscript"/>
          <w:lang w:val="en-US" w:eastAsia="fr-FR"/>
        </w:rPr>
        <w:t>-2</w:t>
      </w:r>
      <w:r w:rsidRPr="00AA3528">
        <w:rPr>
          <w:rFonts w:ascii="Times New Roman" w:hAnsi="Times New Roman" w:cs="Times New Roman"/>
          <w:color w:val="000000"/>
          <w:sz w:val="20"/>
          <w:szCs w:val="20"/>
          <w:lang w:val="en-US" w:eastAsia="fr-FR"/>
        </w:rPr>
        <w:t xml:space="preserve"> s</w:t>
      </w:r>
      <w:r w:rsidRPr="00AA3528">
        <w:rPr>
          <w:rFonts w:ascii="Times New Roman" w:hAnsi="Times New Roman" w:cs="Times New Roman"/>
          <w:color w:val="000000"/>
          <w:sz w:val="20"/>
          <w:szCs w:val="20"/>
          <w:vertAlign w:val="superscript"/>
          <w:lang w:val="en-US" w:eastAsia="fr-FR"/>
        </w:rPr>
        <w:t>-1</w:t>
      </w:r>
      <w:r w:rsidRPr="00AA3528">
        <w:rPr>
          <w:rFonts w:ascii="Times New Roman" w:eastAsiaTheme="minorEastAsia" w:hAnsi="Times New Roman" w:cs="Times New Roman"/>
          <w:sz w:val="20"/>
          <w:szCs w:val="20"/>
          <w:lang w:val="en-US"/>
        </w:rPr>
        <w:t xml:space="preserve">) as a function of </w:t>
      </w:r>
      <w:r w:rsidR="00F2280C">
        <w:rPr>
          <w:rFonts w:ascii="Times New Roman" w:eastAsiaTheme="minorEastAsia" w:hAnsi="Times New Roman" w:cs="Times New Roman"/>
          <w:sz w:val="20"/>
          <w:szCs w:val="20"/>
          <w:lang w:val="en-US"/>
        </w:rPr>
        <w:t xml:space="preserve">the emission factor </w:t>
      </w:r>
      <w:r w:rsidRPr="00AA3528">
        <w:rPr>
          <w:rFonts w:ascii="Times New Roman" w:eastAsiaTheme="minorEastAsia" w:hAnsi="Times New Roman" w:cs="Times New Roman"/>
          <w:sz w:val="20"/>
          <w:szCs w:val="20"/>
          <w:lang w:val="en-US"/>
        </w:rPr>
        <w:t>EF, atmospheric [</w:t>
      </w:r>
      <w:r w:rsidRPr="00AA3528">
        <w:rPr>
          <w:rFonts w:ascii="Times New Roman" w:hAnsi="Times New Roman" w:cs="Times New Roman"/>
          <w:color w:val="000000"/>
          <w:sz w:val="20"/>
          <w:szCs w:val="20"/>
          <w:lang w:val="en-US" w:eastAsia="fr-FR"/>
        </w:rPr>
        <w:t>CO</w:t>
      </w:r>
      <w:r w:rsidRPr="00AA3528">
        <w:rPr>
          <w:rFonts w:ascii="Times New Roman" w:hAnsi="Times New Roman" w:cs="Times New Roman"/>
          <w:color w:val="000000"/>
          <w:sz w:val="20"/>
          <w:szCs w:val="20"/>
          <w:vertAlign w:val="subscript"/>
          <w:lang w:val="en-US" w:eastAsia="fr-FR"/>
        </w:rPr>
        <w:t>2</w:t>
      </w:r>
      <w:r w:rsidRPr="00AA3528">
        <w:rPr>
          <w:rFonts w:ascii="Times New Roman" w:hAnsi="Times New Roman" w:cs="Times New Roman"/>
          <w:color w:val="000000"/>
          <w:sz w:val="20"/>
          <w:szCs w:val="20"/>
          <w:lang w:val="en-US" w:eastAsia="fr-FR"/>
        </w:rPr>
        <w:t xml:space="preserve">], light (PPFD) and temperature. </w:t>
      </w:r>
      <w:r w:rsidRPr="00AA3528">
        <w:rPr>
          <w:rFonts w:ascii="Times New Roman" w:eastAsiaTheme="minorEastAsia" w:hAnsi="Times New Roman" w:cs="Times New Roman"/>
          <w:sz w:val="20"/>
          <w:szCs w:val="20"/>
          <w:lang w:val="en-US"/>
        </w:rPr>
        <w:t>EF</w:t>
      </w:r>
      <w:r w:rsidRPr="00AA3528">
        <w:rPr>
          <w:rFonts w:ascii="Times New Roman" w:hAnsi="Times New Roman" w:cs="Times New Roman"/>
          <w:color w:val="000000"/>
          <w:sz w:val="20"/>
          <w:szCs w:val="20"/>
          <w:lang w:val="en-US" w:eastAsia="fr-FR"/>
        </w:rPr>
        <w:t xml:space="preserve">(season) is </w:t>
      </w:r>
      <w:r w:rsidRPr="00AA3528">
        <w:rPr>
          <w:rFonts w:ascii="Times New Roman" w:eastAsiaTheme="minorEastAsia" w:hAnsi="Times New Roman" w:cs="Times New Roman"/>
          <w:sz w:val="20"/>
          <w:szCs w:val="20"/>
          <w:lang w:val="en-US"/>
        </w:rPr>
        <w:t>the leaf’s emission factor</w:t>
      </w:r>
      <w:r w:rsidRPr="00AA3528">
        <w:rPr>
          <w:rFonts w:ascii="Times New Roman" w:hAnsi="Times New Roman" w:cs="Times New Roman"/>
          <w:color w:val="000000"/>
          <w:sz w:val="20"/>
          <w:szCs w:val="20"/>
          <w:lang w:val="en-US" w:eastAsia="fr-FR"/>
        </w:rPr>
        <w:t xml:space="preserve"> as a function of season, C</w:t>
      </w:r>
      <w:r w:rsidRPr="00AA3528">
        <w:rPr>
          <w:rFonts w:ascii="Times New Roman" w:eastAsiaTheme="minorEastAsia" w:hAnsi="Times New Roman" w:cs="Times New Roman"/>
          <w:sz w:val="20"/>
          <w:szCs w:val="20"/>
          <w:vertAlign w:val="subscript"/>
          <w:lang w:val="en-US"/>
        </w:rPr>
        <w:t>CO2</w:t>
      </w:r>
      <w:r w:rsidRPr="00AA3528">
        <w:rPr>
          <w:rFonts w:ascii="Times New Roman" w:eastAsiaTheme="minorEastAsia" w:hAnsi="Times New Roman" w:cs="Times New Roman"/>
          <w:sz w:val="20"/>
          <w:szCs w:val="20"/>
          <w:lang w:val="en-US"/>
        </w:rPr>
        <w:t>(T) is the percent inhibition at double [</w:t>
      </w:r>
      <w:r w:rsidRPr="00AA3528">
        <w:rPr>
          <w:rFonts w:ascii="Times New Roman" w:hAnsi="Times New Roman" w:cs="Times New Roman"/>
          <w:color w:val="000000"/>
          <w:sz w:val="20"/>
          <w:szCs w:val="20"/>
          <w:lang w:val="en-US" w:eastAsia="fr-FR"/>
        </w:rPr>
        <w:t>CO</w:t>
      </w:r>
      <w:r w:rsidRPr="00AA3528">
        <w:rPr>
          <w:rFonts w:ascii="Times New Roman" w:hAnsi="Times New Roman" w:cs="Times New Roman"/>
          <w:color w:val="000000"/>
          <w:sz w:val="20"/>
          <w:szCs w:val="20"/>
          <w:vertAlign w:val="subscript"/>
          <w:lang w:val="en-US" w:eastAsia="fr-FR"/>
        </w:rPr>
        <w:t>2</w:t>
      </w:r>
      <w:r w:rsidRPr="00AA3528">
        <w:rPr>
          <w:rFonts w:ascii="Times New Roman" w:hAnsi="Times New Roman" w:cs="Times New Roman"/>
          <w:color w:val="000000"/>
          <w:sz w:val="20"/>
          <w:szCs w:val="20"/>
          <w:lang w:val="en-US" w:eastAsia="fr-FR"/>
        </w:rPr>
        <w:t>]</w:t>
      </w:r>
      <w:r w:rsidRPr="00AA3528">
        <w:rPr>
          <w:rFonts w:ascii="Times New Roman" w:eastAsiaTheme="minorEastAsia" w:hAnsi="Times New Roman" w:cs="Times New Roman"/>
          <w:sz w:val="20"/>
          <w:szCs w:val="20"/>
          <w:lang w:val="en-US"/>
        </w:rPr>
        <w:t xml:space="preserve"> </w:t>
      </w:r>
      <w:r w:rsidRPr="00AA3528">
        <w:rPr>
          <w:rFonts w:ascii="Times New Roman" w:hAnsi="Times New Roman" w:cs="Times New Roman"/>
          <w:color w:val="000000"/>
          <w:sz w:val="20"/>
          <w:szCs w:val="20"/>
          <w:lang w:val="en-US" w:eastAsia="fr-FR"/>
        </w:rPr>
        <w:t>as a function of temperature, and C</w:t>
      </w:r>
      <w:r w:rsidRPr="00AA3528">
        <w:rPr>
          <w:rFonts w:ascii="Times New Roman" w:eastAsiaTheme="minorEastAsia" w:hAnsi="Times New Roman" w:cs="Times New Roman"/>
          <w:sz w:val="20"/>
          <w:szCs w:val="20"/>
          <w:vertAlign w:val="subscript"/>
          <w:lang w:val="en-US"/>
        </w:rPr>
        <w:t>T</w:t>
      </w:r>
      <w:r w:rsidRPr="00AA3528">
        <w:rPr>
          <w:rFonts w:ascii="Times New Roman" w:eastAsiaTheme="minorEastAsia" w:hAnsi="Times New Roman" w:cs="Times New Roman"/>
          <w:sz w:val="20"/>
          <w:szCs w:val="20"/>
          <w:lang w:val="en-US"/>
        </w:rPr>
        <w:t xml:space="preserve"> and </w:t>
      </w:r>
      <w:r w:rsidRPr="00AA3528">
        <w:rPr>
          <w:rFonts w:ascii="Times New Roman" w:hAnsi="Times New Roman" w:cs="Times New Roman"/>
          <w:color w:val="000000"/>
          <w:sz w:val="20"/>
          <w:szCs w:val="20"/>
          <w:lang w:val="en-US" w:eastAsia="fr-FR"/>
        </w:rPr>
        <w:t>C</w:t>
      </w:r>
      <w:r w:rsidRPr="00AA3528">
        <w:rPr>
          <w:rFonts w:ascii="Times New Roman" w:eastAsiaTheme="minorEastAsia" w:hAnsi="Times New Roman" w:cs="Times New Roman"/>
          <w:sz w:val="20"/>
          <w:szCs w:val="20"/>
          <w:vertAlign w:val="subscript"/>
          <w:lang w:val="en-US"/>
        </w:rPr>
        <w:t>T</w:t>
      </w:r>
      <w:r w:rsidRPr="00AA3528">
        <w:rPr>
          <w:rFonts w:ascii="Times New Roman" w:eastAsiaTheme="minorEastAsia" w:hAnsi="Times New Roman" w:cs="Times New Roman"/>
          <w:sz w:val="20"/>
          <w:szCs w:val="20"/>
          <w:lang w:val="en-US"/>
        </w:rPr>
        <w:t xml:space="preserve"> are correction factors accounting for the short-term effects of l</w:t>
      </w:r>
      <w:r w:rsidRPr="00AA3528">
        <w:rPr>
          <w:rFonts w:ascii="Times New Roman" w:hAnsi="Times New Roman" w:cs="Times New Roman"/>
          <w:color w:val="000000"/>
          <w:sz w:val="20"/>
          <w:szCs w:val="20"/>
          <w:lang w:val="en-US" w:eastAsia="fr-FR"/>
        </w:rPr>
        <w:t xml:space="preserve">ight (PPFD) and </w:t>
      </w:r>
      <w:r w:rsidRPr="00AA3528">
        <w:rPr>
          <w:rFonts w:ascii="Times New Roman" w:eastAsiaTheme="minorEastAsia" w:hAnsi="Times New Roman" w:cs="Times New Roman"/>
          <w:sz w:val="20"/>
          <w:szCs w:val="20"/>
          <w:lang w:val="en-US"/>
        </w:rPr>
        <w:t xml:space="preserve">temperature (°C) on emissions. </w:t>
      </w:r>
    </w:p>
    <w:p w14:paraId="33B09C54" w14:textId="5238CB99" w:rsidR="00AA3528" w:rsidRPr="00AA3528" w:rsidRDefault="00AA3528" w:rsidP="00014C1A">
      <w:pPr>
        <w:spacing w:after="120"/>
        <w:jc w:val="both"/>
        <w:rPr>
          <w:rFonts w:ascii="Times New Roman" w:hAnsi="Times New Roman" w:cs="Times New Roman"/>
          <w:color w:val="000000"/>
          <w:sz w:val="20"/>
          <w:szCs w:val="20"/>
          <w:lang w:val="en-US" w:eastAsia="fr-FR"/>
        </w:rPr>
      </w:pPr>
      <w:r w:rsidRPr="00AA3528">
        <w:rPr>
          <w:rFonts w:ascii="Times New Roman" w:hAnsi="Times New Roman" w:cs="Times New Roman"/>
          <w:color w:val="000000"/>
          <w:sz w:val="20"/>
          <w:szCs w:val="20"/>
          <w:lang w:val="en-US" w:eastAsia="fr-FR"/>
        </w:rPr>
        <w:t>Concerning C</w:t>
      </w:r>
      <w:r w:rsidRPr="00AA3528">
        <w:rPr>
          <w:rFonts w:ascii="Times New Roman" w:eastAsiaTheme="minorEastAsia" w:hAnsi="Times New Roman" w:cs="Times New Roman"/>
          <w:sz w:val="20"/>
          <w:szCs w:val="20"/>
          <w:vertAlign w:val="subscript"/>
          <w:lang w:val="en-US"/>
        </w:rPr>
        <w:t>T</w:t>
      </w:r>
      <w:r w:rsidRPr="00AA3528">
        <w:rPr>
          <w:rFonts w:ascii="Times New Roman" w:eastAsiaTheme="minorEastAsia" w:hAnsi="Times New Roman" w:cs="Times New Roman"/>
          <w:sz w:val="20"/>
          <w:szCs w:val="20"/>
          <w:lang w:val="en-US"/>
        </w:rPr>
        <w:t xml:space="preserve"> and </w:t>
      </w:r>
      <w:r w:rsidRPr="00AA3528">
        <w:rPr>
          <w:rFonts w:ascii="Times New Roman" w:hAnsi="Times New Roman" w:cs="Times New Roman"/>
          <w:color w:val="000000"/>
          <w:sz w:val="20"/>
          <w:szCs w:val="20"/>
          <w:lang w:val="en-US" w:eastAsia="fr-FR"/>
        </w:rPr>
        <w:t>C</w:t>
      </w:r>
      <w:r w:rsidRPr="00AA3528">
        <w:rPr>
          <w:rFonts w:ascii="Times New Roman" w:eastAsiaTheme="minorEastAsia" w:hAnsi="Times New Roman" w:cs="Times New Roman"/>
          <w:sz w:val="20"/>
          <w:szCs w:val="20"/>
          <w:vertAlign w:val="subscript"/>
          <w:lang w:val="en-US"/>
        </w:rPr>
        <w:t>T</w:t>
      </w:r>
      <w:r w:rsidRPr="00AA3528">
        <w:rPr>
          <w:rFonts w:ascii="Times New Roman" w:eastAsiaTheme="minorEastAsia" w:hAnsi="Times New Roman" w:cs="Times New Roman"/>
          <w:sz w:val="20"/>
          <w:szCs w:val="20"/>
          <w:lang w:val="en-US"/>
        </w:rPr>
        <w:t xml:space="preserve"> we applied the well-known algorithms of MEGAN in their original forms with coefficient values </w:t>
      </w:r>
      <w:r w:rsidR="002F7A13">
        <w:rPr>
          <w:rFonts w:ascii="Times New Roman" w:eastAsiaTheme="minorEastAsia" w:hAnsi="Times New Roman" w:cs="Times New Roman"/>
          <w:sz w:val="20"/>
          <w:szCs w:val="20"/>
          <w:lang w:val="en-US"/>
        </w:rPr>
        <w:t xml:space="preserve">adjusted for monoterpene emissions from </w:t>
      </w:r>
      <w:r w:rsidRPr="00AA3528">
        <w:rPr>
          <w:rFonts w:ascii="Times New Roman" w:eastAsiaTheme="minorEastAsia" w:hAnsi="Times New Roman" w:cs="Times New Roman"/>
          <w:sz w:val="20"/>
          <w:szCs w:val="20"/>
          <w:lang w:val="en-US"/>
        </w:rPr>
        <w:t xml:space="preserve">QI as described in Staudt and Bertin (1998). As input data we used the temperature and PPFD data (30 min averages) of the years 2019, 2020 and 2021 (annual mean temperatures: 14.7, 14.8 and 14.0 °C) recorded on the flux tower of the experimental station of </w:t>
      </w:r>
      <w:proofErr w:type="spellStart"/>
      <w:r w:rsidRPr="00AA3528">
        <w:rPr>
          <w:rFonts w:ascii="Times New Roman" w:eastAsiaTheme="minorEastAsia" w:hAnsi="Times New Roman" w:cs="Times New Roman"/>
          <w:sz w:val="20"/>
          <w:szCs w:val="20"/>
          <w:lang w:val="en-US"/>
        </w:rPr>
        <w:t>Puechabon</w:t>
      </w:r>
      <w:proofErr w:type="spellEnd"/>
      <w:r w:rsidRPr="00AA3528">
        <w:rPr>
          <w:rFonts w:ascii="Times New Roman" w:eastAsiaTheme="minorEastAsia" w:hAnsi="Times New Roman" w:cs="Times New Roman"/>
          <w:sz w:val="20"/>
          <w:szCs w:val="20"/>
          <w:lang w:val="en-US"/>
        </w:rPr>
        <w:t xml:space="preserve"> located in a Holm oak forest 24 km north-west of </w:t>
      </w:r>
      <w:r w:rsidR="002F7A13">
        <w:rPr>
          <w:rFonts w:ascii="Times New Roman" w:eastAsiaTheme="minorEastAsia" w:hAnsi="Times New Roman" w:cs="Times New Roman"/>
          <w:sz w:val="20"/>
          <w:szCs w:val="20"/>
          <w:lang w:val="en-US"/>
        </w:rPr>
        <w:t>our</w:t>
      </w:r>
      <w:r w:rsidRPr="00AA3528">
        <w:rPr>
          <w:rFonts w:ascii="Times New Roman" w:eastAsiaTheme="minorEastAsia" w:hAnsi="Times New Roman" w:cs="Times New Roman"/>
          <w:sz w:val="20"/>
          <w:szCs w:val="20"/>
          <w:lang w:val="en-US"/>
        </w:rPr>
        <w:t xml:space="preserve"> institute (see </w:t>
      </w:r>
      <w:hyperlink r:id="rId9" w:history="1">
        <w:r w:rsidR="00331BC5" w:rsidRPr="001128D9">
          <w:rPr>
            <w:rStyle w:val="Lienhypertexte"/>
            <w:rFonts w:ascii="Times New Roman" w:eastAsiaTheme="minorEastAsia" w:hAnsi="Times New Roman" w:cs="Times New Roman"/>
            <w:sz w:val="20"/>
            <w:szCs w:val="20"/>
            <w:lang w:val="en-US"/>
          </w:rPr>
          <w:t>https://puechabon.cefe.cnrs.fr/</w:t>
        </w:r>
      </w:hyperlink>
      <w:r w:rsidRPr="00AA3528">
        <w:rPr>
          <w:rFonts w:ascii="Times New Roman" w:eastAsiaTheme="minorEastAsia" w:hAnsi="Times New Roman" w:cs="Times New Roman"/>
          <w:sz w:val="20"/>
          <w:szCs w:val="20"/>
          <w:lang w:val="en-US"/>
        </w:rPr>
        <w:t>). To simulate climate warming, temperature data were increased by 1, 2, 3 and 4 °C. These increments encompass the range of warming predicted to occur with doubling [CO</w:t>
      </w:r>
      <w:r w:rsidRPr="002F7A13">
        <w:rPr>
          <w:rFonts w:ascii="Times New Roman" w:eastAsiaTheme="minorEastAsia" w:hAnsi="Times New Roman" w:cs="Times New Roman"/>
          <w:sz w:val="20"/>
          <w:szCs w:val="20"/>
          <w:vertAlign w:val="subscript"/>
          <w:lang w:val="en-US"/>
        </w:rPr>
        <w:t>2</w:t>
      </w:r>
      <w:r w:rsidRPr="00AA3528">
        <w:rPr>
          <w:rFonts w:ascii="Times New Roman" w:eastAsiaTheme="minorEastAsia" w:hAnsi="Times New Roman" w:cs="Times New Roman"/>
          <w:sz w:val="20"/>
          <w:szCs w:val="20"/>
          <w:lang w:val="en-US"/>
        </w:rPr>
        <w:t xml:space="preserve">] by the end of the century (IPCC 2021 scenario SSP3-7.0: 2.8-4.6 °C relative to the 1850-1900 period). </w:t>
      </w:r>
    </w:p>
    <w:p w14:paraId="196A2353" w14:textId="572BF528" w:rsidR="00AA3528" w:rsidRPr="00AA3528" w:rsidRDefault="00AA3528" w:rsidP="00014C1A">
      <w:pPr>
        <w:spacing w:after="120"/>
        <w:jc w:val="both"/>
        <w:rPr>
          <w:rFonts w:ascii="Times New Roman" w:hAnsi="Times New Roman" w:cs="Times New Roman"/>
          <w:color w:val="000000"/>
          <w:sz w:val="20"/>
          <w:szCs w:val="20"/>
          <w:lang w:val="en-US" w:eastAsia="fr-FR"/>
        </w:rPr>
      </w:pPr>
      <w:r w:rsidRPr="00AA3528">
        <w:rPr>
          <w:rFonts w:ascii="Times New Roman" w:hAnsi="Times New Roman" w:cs="Times New Roman"/>
          <w:color w:val="000000"/>
          <w:sz w:val="20"/>
          <w:szCs w:val="20"/>
          <w:lang w:val="en-US" w:eastAsia="fr-FR"/>
        </w:rPr>
        <w:t>The high-CO2-inhibition of emissions at double CO</w:t>
      </w:r>
      <w:r w:rsidRPr="00F2280C">
        <w:rPr>
          <w:rFonts w:ascii="Times New Roman" w:hAnsi="Times New Roman" w:cs="Times New Roman"/>
          <w:color w:val="000000"/>
          <w:sz w:val="20"/>
          <w:szCs w:val="20"/>
          <w:vertAlign w:val="subscript"/>
          <w:lang w:val="en-US" w:eastAsia="fr-FR"/>
        </w:rPr>
        <w:t>2</w:t>
      </w:r>
      <w:r w:rsidRPr="00AA3528">
        <w:rPr>
          <w:rFonts w:ascii="Times New Roman" w:hAnsi="Times New Roman" w:cs="Times New Roman"/>
          <w:color w:val="000000"/>
          <w:sz w:val="20"/>
          <w:szCs w:val="20"/>
          <w:lang w:val="en-US" w:eastAsia="fr-FR"/>
        </w:rPr>
        <w:t xml:space="preserve"> (C</w:t>
      </w:r>
      <w:r w:rsidRPr="00AA3528">
        <w:rPr>
          <w:rFonts w:ascii="Times New Roman" w:eastAsiaTheme="minorEastAsia" w:hAnsi="Times New Roman" w:cs="Times New Roman"/>
          <w:sz w:val="20"/>
          <w:szCs w:val="20"/>
          <w:vertAlign w:val="subscript"/>
          <w:lang w:val="en-US"/>
        </w:rPr>
        <w:t>CO2</w:t>
      </w:r>
      <w:r w:rsidRPr="00AA3528">
        <w:rPr>
          <w:rFonts w:ascii="Times New Roman" w:eastAsiaTheme="minorEastAsia" w:hAnsi="Times New Roman" w:cs="Times New Roman"/>
          <w:sz w:val="20"/>
          <w:szCs w:val="20"/>
          <w:lang w:val="en-US"/>
        </w:rPr>
        <w:t>(T)</w:t>
      </w:r>
      <w:r w:rsidRPr="00AA3528">
        <w:rPr>
          <w:rFonts w:ascii="Times New Roman" w:hAnsi="Times New Roman" w:cs="Times New Roman"/>
          <w:color w:val="000000"/>
          <w:sz w:val="20"/>
          <w:szCs w:val="20"/>
          <w:lang w:val="en-US" w:eastAsia="fr-FR"/>
        </w:rPr>
        <w:t>) was calculated according our results (10</w:t>
      </w:r>
      <w:r w:rsidR="00F2280C">
        <w:rPr>
          <w:rFonts w:ascii="Times New Roman" w:hAnsi="Times New Roman" w:cs="Times New Roman"/>
          <w:color w:val="000000"/>
          <w:sz w:val="20"/>
          <w:szCs w:val="20"/>
          <w:lang w:val="en-US" w:eastAsia="fr-FR"/>
        </w:rPr>
        <w:t xml:space="preserve"> </w:t>
      </w:r>
      <w:r w:rsidRPr="00AA3528">
        <w:rPr>
          <w:rFonts w:ascii="Times New Roman" w:hAnsi="Times New Roman" w:cs="Times New Roman"/>
          <w:color w:val="000000"/>
          <w:sz w:val="20"/>
          <w:szCs w:val="20"/>
          <w:lang w:val="en-US" w:eastAsia="fr-FR"/>
        </w:rPr>
        <w:t>% inhibition at 30 °C and 0</w:t>
      </w:r>
      <w:r w:rsidR="00F2280C">
        <w:rPr>
          <w:rFonts w:ascii="Times New Roman" w:hAnsi="Times New Roman" w:cs="Times New Roman"/>
          <w:color w:val="000000"/>
          <w:sz w:val="20"/>
          <w:szCs w:val="20"/>
          <w:lang w:val="en-US" w:eastAsia="fr-FR"/>
        </w:rPr>
        <w:t xml:space="preserve"> </w:t>
      </w:r>
      <w:r w:rsidRPr="00AA3528">
        <w:rPr>
          <w:rFonts w:ascii="Times New Roman" w:hAnsi="Times New Roman" w:cs="Times New Roman"/>
          <w:color w:val="000000"/>
          <w:sz w:val="20"/>
          <w:szCs w:val="20"/>
          <w:lang w:val="en-US" w:eastAsia="fr-FR"/>
        </w:rPr>
        <w:t xml:space="preserve">% at 35°C) and literature review (see main text) as: </w:t>
      </w:r>
    </w:p>
    <w:p w14:paraId="15869E88" w14:textId="3D8A5630" w:rsidR="00AA3528" w:rsidRPr="00014C1A" w:rsidRDefault="00AA3528" w:rsidP="00014C1A">
      <w:pPr>
        <w:spacing w:after="120"/>
        <w:rPr>
          <w:rFonts w:ascii="Times New Roman" w:eastAsiaTheme="minorEastAsia" w:hAnsi="Times New Roman" w:cs="Times New Roman"/>
          <w:b/>
          <w:sz w:val="20"/>
          <w:szCs w:val="20"/>
          <w:lang w:val="en-US"/>
        </w:rPr>
      </w:pPr>
      <w:proofErr w:type="gramStart"/>
      <w:r w:rsidRPr="00014C1A">
        <w:rPr>
          <w:rFonts w:ascii="Times New Roman" w:hAnsi="Times New Roman" w:cs="Times New Roman"/>
          <w:b/>
          <w:color w:val="000000"/>
          <w:sz w:val="20"/>
          <w:szCs w:val="20"/>
          <w:lang w:val="en-US" w:eastAsia="fr-FR"/>
        </w:rPr>
        <w:t>C</w:t>
      </w:r>
      <w:r w:rsidRPr="00014C1A">
        <w:rPr>
          <w:rFonts w:ascii="Times New Roman" w:eastAsiaTheme="minorEastAsia" w:hAnsi="Times New Roman" w:cs="Times New Roman"/>
          <w:b/>
          <w:sz w:val="20"/>
          <w:szCs w:val="20"/>
          <w:vertAlign w:val="subscript"/>
          <w:lang w:val="en-US"/>
        </w:rPr>
        <w:t>CO2</w:t>
      </w:r>
      <w:r w:rsidRPr="00014C1A">
        <w:rPr>
          <w:rFonts w:ascii="Times New Roman" w:eastAsiaTheme="minorEastAsia" w:hAnsi="Times New Roman" w:cs="Times New Roman"/>
          <w:b/>
          <w:sz w:val="20"/>
          <w:szCs w:val="20"/>
          <w:lang w:val="en-US"/>
        </w:rPr>
        <w:t>(</w:t>
      </w:r>
      <w:proofErr w:type="gramEnd"/>
      <w:r w:rsidRPr="00014C1A">
        <w:rPr>
          <w:rFonts w:ascii="Times New Roman" w:eastAsiaTheme="minorEastAsia" w:hAnsi="Times New Roman" w:cs="Times New Roman"/>
          <w:b/>
          <w:sz w:val="20"/>
          <w:szCs w:val="20"/>
          <w:lang w:val="en-US"/>
        </w:rPr>
        <w:t xml:space="preserve">T) = -2T + 70 </w:t>
      </w:r>
      <w:r w:rsidR="00DA1985" w:rsidRPr="00014C1A">
        <w:rPr>
          <w:rFonts w:ascii="Times New Roman" w:eastAsiaTheme="minorEastAsia" w:hAnsi="Times New Roman" w:cs="Times New Roman"/>
          <w:b/>
          <w:sz w:val="20"/>
          <w:szCs w:val="20"/>
          <w:lang w:val="en-US"/>
        </w:rPr>
        <w:tab/>
      </w:r>
      <w:r w:rsidRPr="00014C1A">
        <w:rPr>
          <w:rFonts w:ascii="Times New Roman" w:eastAsiaTheme="minorEastAsia" w:hAnsi="Times New Roman" w:cs="Times New Roman"/>
          <w:b/>
          <w:sz w:val="20"/>
          <w:szCs w:val="20"/>
          <w:lang w:val="en-US"/>
        </w:rPr>
        <w:t>for T</w:t>
      </w:r>
      <w:r w:rsidRPr="00014C1A">
        <w:rPr>
          <w:rFonts w:ascii="Times New Roman" w:eastAsiaTheme="minorEastAsia" w:hAnsi="Times New Roman" w:cs="Times New Roman"/>
          <w:b/>
          <w:sz w:val="20"/>
          <w:szCs w:val="20"/>
          <w:vertAlign w:val="subscript"/>
          <w:lang w:val="en-US"/>
        </w:rPr>
        <w:t>t</w:t>
      </w:r>
      <w:r w:rsidRPr="00014C1A">
        <w:rPr>
          <w:rFonts w:ascii="Times New Roman" w:eastAsiaTheme="minorEastAsia" w:hAnsi="Times New Roman" w:cs="Times New Roman"/>
          <w:b/>
          <w:sz w:val="20"/>
          <w:szCs w:val="20"/>
          <w:lang w:val="en-US"/>
        </w:rPr>
        <w:t>&lt;T≤35</w:t>
      </w:r>
      <w:r w:rsidR="00DA1985" w:rsidRPr="00014C1A">
        <w:rPr>
          <w:rFonts w:ascii="Times New Roman" w:eastAsiaTheme="minorEastAsia" w:hAnsi="Times New Roman" w:cs="Times New Roman"/>
          <w:b/>
          <w:sz w:val="20"/>
          <w:szCs w:val="20"/>
          <w:lang w:val="en-US"/>
        </w:rPr>
        <w:t>,</w:t>
      </w:r>
      <w:r w:rsidRPr="00014C1A">
        <w:rPr>
          <w:rFonts w:ascii="Times New Roman" w:eastAsiaTheme="minorEastAsia" w:hAnsi="Times New Roman" w:cs="Times New Roman"/>
          <w:b/>
          <w:sz w:val="20"/>
          <w:szCs w:val="20"/>
          <w:lang w:val="en-US"/>
        </w:rPr>
        <w:t xml:space="preserve"> </w:t>
      </w:r>
    </w:p>
    <w:p w14:paraId="7034238D" w14:textId="0E21C2CE" w:rsidR="00DA1985" w:rsidRPr="00014C1A" w:rsidRDefault="00AA3528" w:rsidP="00014C1A">
      <w:pPr>
        <w:spacing w:after="120"/>
        <w:rPr>
          <w:rFonts w:ascii="Times New Roman" w:hAnsi="Times New Roman" w:cs="Times New Roman"/>
          <w:b/>
          <w:color w:val="000000"/>
          <w:sz w:val="20"/>
          <w:szCs w:val="20"/>
          <w:lang w:val="en-US" w:eastAsia="fr-FR"/>
        </w:rPr>
      </w:pPr>
      <w:proofErr w:type="gramStart"/>
      <w:r w:rsidRPr="00014C1A">
        <w:rPr>
          <w:rFonts w:ascii="Times New Roman" w:hAnsi="Times New Roman" w:cs="Times New Roman"/>
          <w:b/>
          <w:color w:val="000000"/>
          <w:sz w:val="20"/>
          <w:szCs w:val="20"/>
          <w:lang w:val="en-US" w:eastAsia="fr-FR"/>
        </w:rPr>
        <w:t>C</w:t>
      </w:r>
      <w:r w:rsidRPr="00014C1A">
        <w:rPr>
          <w:rFonts w:ascii="Times New Roman" w:eastAsiaTheme="minorEastAsia" w:hAnsi="Times New Roman" w:cs="Times New Roman"/>
          <w:b/>
          <w:sz w:val="20"/>
          <w:szCs w:val="20"/>
          <w:vertAlign w:val="subscript"/>
          <w:lang w:val="en-US"/>
        </w:rPr>
        <w:t>CO2</w:t>
      </w:r>
      <w:r w:rsidRPr="00014C1A">
        <w:rPr>
          <w:rFonts w:ascii="Times New Roman" w:eastAsiaTheme="minorEastAsia" w:hAnsi="Times New Roman" w:cs="Times New Roman"/>
          <w:b/>
          <w:sz w:val="20"/>
          <w:szCs w:val="20"/>
          <w:lang w:val="en-US"/>
        </w:rPr>
        <w:t>(</w:t>
      </w:r>
      <w:proofErr w:type="gramEnd"/>
      <w:r w:rsidRPr="00014C1A">
        <w:rPr>
          <w:rFonts w:ascii="Times New Roman" w:eastAsiaTheme="minorEastAsia" w:hAnsi="Times New Roman" w:cs="Times New Roman"/>
          <w:b/>
          <w:sz w:val="20"/>
          <w:szCs w:val="20"/>
          <w:lang w:val="en-US"/>
        </w:rPr>
        <w:t xml:space="preserve">T) = 0 </w:t>
      </w:r>
      <w:r w:rsidR="00DA1985" w:rsidRPr="00014C1A">
        <w:rPr>
          <w:rFonts w:ascii="Times New Roman" w:eastAsiaTheme="minorEastAsia" w:hAnsi="Times New Roman" w:cs="Times New Roman"/>
          <w:b/>
          <w:sz w:val="20"/>
          <w:szCs w:val="20"/>
          <w:lang w:val="en-US"/>
        </w:rPr>
        <w:tab/>
      </w:r>
      <w:r w:rsidR="00DA1985" w:rsidRPr="00014C1A">
        <w:rPr>
          <w:rFonts w:ascii="Times New Roman" w:eastAsiaTheme="minorEastAsia" w:hAnsi="Times New Roman" w:cs="Times New Roman"/>
          <w:b/>
          <w:sz w:val="20"/>
          <w:szCs w:val="20"/>
          <w:lang w:val="en-US"/>
        </w:rPr>
        <w:tab/>
      </w:r>
      <w:r w:rsidRPr="00014C1A">
        <w:rPr>
          <w:rFonts w:ascii="Times New Roman" w:eastAsiaTheme="minorEastAsia" w:hAnsi="Times New Roman" w:cs="Times New Roman"/>
          <w:b/>
          <w:sz w:val="20"/>
          <w:szCs w:val="20"/>
          <w:lang w:val="en-US"/>
        </w:rPr>
        <w:t>for T</w:t>
      </w:r>
      <w:r w:rsidR="00DA1985" w:rsidRPr="00014C1A">
        <w:rPr>
          <w:rFonts w:ascii="Times New Roman" w:eastAsiaTheme="minorEastAsia" w:hAnsi="Times New Roman" w:cs="Times New Roman"/>
          <w:b/>
          <w:sz w:val="20"/>
          <w:szCs w:val="20"/>
          <w:lang w:val="en-US"/>
        </w:rPr>
        <w:t>&gt;</w:t>
      </w:r>
      <w:r w:rsidRPr="00014C1A">
        <w:rPr>
          <w:rFonts w:ascii="Times New Roman" w:eastAsiaTheme="minorEastAsia" w:hAnsi="Times New Roman" w:cs="Times New Roman"/>
          <w:b/>
          <w:sz w:val="20"/>
          <w:szCs w:val="20"/>
          <w:lang w:val="en-US"/>
        </w:rPr>
        <w:t>35,</w:t>
      </w:r>
      <w:r w:rsidRPr="00014C1A">
        <w:rPr>
          <w:rFonts w:ascii="Times New Roman" w:hAnsi="Times New Roman" w:cs="Times New Roman"/>
          <w:b/>
          <w:color w:val="000000"/>
          <w:sz w:val="20"/>
          <w:szCs w:val="20"/>
          <w:lang w:val="en-US" w:eastAsia="fr-FR"/>
        </w:rPr>
        <w:t xml:space="preserve"> </w:t>
      </w:r>
    </w:p>
    <w:p w14:paraId="17D9F4B5" w14:textId="0F37587B" w:rsidR="00AA3528" w:rsidRPr="00014C1A" w:rsidRDefault="00AA3528" w:rsidP="00014C1A">
      <w:pPr>
        <w:spacing w:after="120"/>
        <w:rPr>
          <w:rFonts w:ascii="Times New Roman" w:hAnsi="Times New Roman" w:cs="Times New Roman"/>
          <w:b/>
          <w:color w:val="000000"/>
          <w:sz w:val="20"/>
          <w:szCs w:val="20"/>
          <w:lang w:val="en-US" w:eastAsia="fr-FR"/>
        </w:rPr>
      </w:pPr>
      <w:proofErr w:type="gramStart"/>
      <w:r w:rsidRPr="00014C1A">
        <w:rPr>
          <w:rFonts w:ascii="Times New Roman" w:hAnsi="Times New Roman" w:cs="Times New Roman"/>
          <w:b/>
          <w:color w:val="000000"/>
          <w:sz w:val="20"/>
          <w:szCs w:val="20"/>
          <w:lang w:val="en-US" w:eastAsia="fr-FR"/>
        </w:rPr>
        <w:t>C</w:t>
      </w:r>
      <w:r w:rsidRPr="00014C1A">
        <w:rPr>
          <w:rFonts w:ascii="Times New Roman" w:eastAsiaTheme="minorEastAsia" w:hAnsi="Times New Roman" w:cs="Times New Roman"/>
          <w:b/>
          <w:sz w:val="20"/>
          <w:szCs w:val="20"/>
          <w:vertAlign w:val="subscript"/>
          <w:lang w:val="en-US"/>
        </w:rPr>
        <w:t>CO2</w:t>
      </w:r>
      <w:r w:rsidRPr="00014C1A">
        <w:rPr>
          <w:rFonts w:ascii="Times New Roman" w:eastAsiaTheme="minorEastAsia" w:hAnsi="Times New Roman" w:cs="Times New Roman"/>
          <w:b/>
          <w:sz w:val="20"/>
          <w:szCs w:val="20"/>
          <w:lang w:val="en-US"/>
        </w:rPr>
        <w:t>(</w:t>
      </w:r>
      <w:proofErr w:type="gramEnd"/>
      <w:r w:rsidRPr="00014C1A">
        <w:rPr>
          <w:rFonts w:ascii="Times New Roman" w:eastAsiaTheme="minorEastAsia" w:hAnsi="Times New Roman" w:cs="Times New Roman"/>
          <w:b/>
          <w:sz w:val="20"/>
          <w:szCs w:val="20"/>
          <w:lang w:val="en-US"/>
        </w:rPr>
        <w:t>T) = -2 T</w:t>
      </w:r>
      <w:r w:rsidRPr="00014C1A">
        <w:rPr>
          <w:rFonts w:ascii="Times New Roman" w:eastAsiaTheme="minorEastAsia" w:hAnsi="Times New Roman" w:cs="Times New Roman"/>
          <w:b/>
          <w:sz w:val="20"/>
          <w:szCs w:val="20"/>
          <w:vertAlign w:val="subscript"/>
          <w:lang w:val="en-US"/>
        </w:rPr>
        <w:t>t</w:t>
      </w:r>
      <w:r w:rsidRPr="00014C1A">
        <w:rPr>
          <w:rFonts w:ascii="Times New Roman" w:eastAsiaTheme="minorEastAsia" w:hAnsi="Times New Roman" w:cs="Times New Roman"/>
          <w:b/>
          <w:sz w:val="20"/>
          <w:szCs w:val="20"/>
          <w:lang w:val="en-US"/>
        </w:rPr>
        <w:t xml:space="preserve"> + 70 </w:t>
      </w:r>
      <w:r w:rsidR="00DA1985" w:rsidRPr="00014C1A">
        <w:rPr>
          <w:rFonts w:ascii="Times New Roman" w:eastAsiaTheme="minorEastAsia" w:hAnsi="Times New Roman" w:cs="Times New Roman"/>
          <w:b/>
          <w:sz w:val="20"/>
          <w:szCs w:val="20"/>
          <w:lang w:val="en-US"/>
        </w:rPr>
        <w:tab/>
      </w:r>
      <w:r w:rsidRPr="00014C1A">
        <w:rPr>
          <w:rFonts w:ascii="Times New Roman" w:eastAsiaTheme="minorEastAsia" w:hAnsi="Times New Roman" w:cs="Times New Roman"/>
          <w:b/>
          <w:sz w:val="20"/>
          <w:szCs w:val="20"/>
          <w:lang w:val="en-US"/>
        </w:rPr>
        <w:t>for T≤ T</w:t>
      </w:r>
      <w:r w:rsidRPr="00014C1A">
        <w:rPr>
          <w:rFonts w:ascii="Times New Roman" w:eastAsiaTheme="minorEastAsia" w:hAnsi="Times New Roman" w:cs="Times New Roman"/>
          <w:b/>
          <w:sz w:val="20"/>
          <w:szCs w:val="20"/>
          <w:vertAlign w:val="subscript"/>
          <w:lang w:val="en-US"/>
        </w:rPr>
        <w:t>t</w:t>
      </w:r>
      <w:r w:rsidR="00DA1985" w:rsidRPr="00014C1A">
        <w:rPr>
          <w:rFonts w:ascii="Times New Roman" w:eastAsiaTheme="minorEastAsia" w:hAnsi="Times New Roman" w:cs="Times New Roman"/>
          <w:b/>
          <w:sz w:val="20"/>
          <w:szCs w:val="20"/>
          <w:lang w:val="en-US"/>
        </w:rPr>
        <w:t xml:space="preserve"> .</w:t>
      </w:r>
    </w:p>
    <w:p w14:paraId="1F8D7728" w14:textId="068EC2CA" w:rsidR="00AA3528" w:rsidRPr="00AA3528" w:rsidRDefault="00DA1985" w:rsidP="00014C1A">
      <w:pPr>
        <w:spacing w:after="120"/>
        <w:jc w:val="both"/>
        <w:rPr>
          <w:rFonts w:ascii="Times New Roman" w:hAnsi="Times New Roman" w:cs="Times New Roman"/>
          <w:color w:val="000000"/>
          <w:sz w:val="20"/>
          <w:szCs w:val="20"/>
          <w:lang w:val="en-US" w:eastAsia="fr-FR"/>
        </w:rPr>
      </w:pPr>
      <w:r>
        <w:rPr>
          <w:rFonts w:ascii="Times New Roman" w:hAnsi="Times New Roman" w:cs="Times New Roman"/>
          <w:color w:val="000000"/>
          <w:sz w:val="20"/>
          <w:szCs w:val="20"/>
          <w:lang w:val="en-US" w:eastAsia="fr-FR"/>
        </w:rPr>
        <w:t>This approach</w:t>
      </w:r>
      <w:r w:rsidR="00AA3528" w:rsidRPr="00AA3528">
        <w:rPr>
          <w:rFonts w:ascii="Times New Roman" w:hAnsi="Times New Roman" w:cs="Times New Roman"/>
          <w:color w:val="000000"/>
          <w:sz w:val="20"/>
          <w:szCs w:val="20"/>
          <w:lang w:val="en-US" w:eastAsia="fr-FR"/>
        </w:rPr>
        <w:t xml:space="preserve"> assumes that inhibition is 0 % at</w:t>
      </w:r>
      <w:r>
        <w:rPr>
          <w:rFonts w:ascii="Times New Roman" w:hAnsi="Times New Roman" w:cs="Times New Roman"/>
          <w:color w:val="000000"/>
          <w:sz w:val="20"/>
          <w:szCs w:val="20"/>
          <w:lang w:val="en-US" w:eastAsia="fr-FR"/>
        </w:rPr>
        <w:t xml:space="preserve"> a temperature T</w:t>
      </w:r>
      <w:r w:rsidR="00AA3528" w:rsidRPr="00AA3528">
        <w:rPr>
          <w:rFonts w:ascii="Times New Roman" w:hAnsi="Times New Roman" w:cs="Times New Roman"/>
          <w:color w:val="000000"/>
          <w:sz w:val="20"/>
          <w:szCs w:val="20"/>
          <w:lang w:val="en-US" w:eastAsia="fr-FR"/>
        </w:rPr>
        <w:t xml:space="preserve"> ≥ 35 °C and progressively increases at lower temperatures by 2 % per 1°C </w:t>
      </w:r>
      <w:r>
        <w:rPr>
          <w:rFonts w:ascii="Times New Roman" w:hAnsi="Times New Roman" w:cs="Times New Roman"/>
          <w:color w:val="000000"/>
          <w:sz w:val="20"/>
          <w:szCs w:val="20"/>
          <w:lang w:val="en-US" w:eastAsia="fr-FR"/>
        </w:rPr>
        <w:t xml:space="preserve">temperature </w:t>
      </w:r>
      <w:r w:rsidR="00AA3528" w:rsidRPr="00AA3528">
        <w:rPr>
          <w:rFonts w:ascii="Times New Roman" w:hAnsi="Times New Roman" w:cs="Times New Roman"/>
          <w:color w:val="000000"/>
          <w:sz w:val="20"/>
          <w:szCs w:val="20"/>
          <w:lang w:val="en-US" w:eastAsia="fr-FR"/>
        </w:rPr>
        <w:t xml:space="preserve">decrease until a maximum inhibition at </w:t>
      </w:r>
      <w:r>
        <w:rPr>
          <w:rFonts w:ascii="Times New Roman" w:hAnsi="Times New Roman" w:cs="Times New Roman"/>
          <w:color w:val="000000"/>
          <w:sz w:val="20"/>
          <w:szCs w:val="20"/>
          <w:lang w:val="en-US" w:eastAsia="fr-FR"/>
        </w:rPr>
        <w:t>the</w:t>
      </w:r>
      <w:r w:rsidR="00AA3528" w:rsidRPr="00AA3528">
        <w:rPr>
          <w:rFonts w:ascii="Times New Roman" w:hAnsi="Times New Roman" w:cs="Times New Roman"/>
          <w:color w:val="000000"/>
          <w:sz w:val="20"/>
          <w:szCs w:val="20"/>
          <w:lang w:val="en-US" w:eastAsia="fr-FR"/>
        </w:rPr>
        <w:t xml:space="preserve"> temperature threshold </w:t>
      </w:r>
      <w:r w:rsidR="00AA3528" w:rsidRPr="00AA3528">
        <w:rPr>
          <w:rFonts w:ascii="Times New Roman" w:eastAsiaTheme="minorEastAsia" w:hAnsi="Times New Roman" w:cs="Times New Roman"/>
          <w:sz w:val="20"/>
          <w:szCs w:val="20"/>
          <w:lang w:val="en-US"/>
        </w:rPr>
        <w:t>T</w:t>
      </w:r>
      <w:r w:rsidR="00AA3528" w:rsidRPr="00AA3528">
        <w:rPr>
          <w:rFonts w:ascii="Times New Roman" w:eastAsiaTheme="minorEastAsia" w:hAnsi="Times New Roman" w:cs="Times New Roman"/>
          <w:sz w:val="20"/>
          <w:szCs w:val="20"/>
          <w:vertAlign w:val="subscript"/>
          <w:lang w:val="en-US"/>
        </w:rPr>
        <w:t>t</w:t>
      </w:r>
      <w:r w:rsidR="00AA3528" w:rsidRPr="00AA3528">
        <w:rPr>
          <w:rFonts w:ascii="Times New Roman" w:hAnsi="Times New Roman" w:cs="Times New Roman"/>
          <w:color w:val="000000"/>
          <w:sz w:val="20"/>
          <w:szCs w:val="20"/>
          <w:lang w:val="en-US" w:eastAsia="fr-FR"/>
        </w:rPr>
        <w:t xml:space="preserve">. Since the maximum inhibition is not known, we adjusted </w:t>
      </w:r>
      <w:r w:rsidR="00AA3528" w:rsidRPr="00AA3528">
        <w:rPr>
          <w:rFonts w:ascii="Times New Roman" w:eastAsiaTheme="minorEastAsia" w:hAnsi="Times New Roman" w:cs="Times New Roman"/>
          <w:sz w:val="20"/>
          <w:szCs w:val="20"/>
          <w:lang w:val="en-US"/>
        </w:rPr>
        <w:t>T</w:t>
      </w:r>
      <w:r w:rsidR="00AA3528" w:rsidRPr="00AA3528">
        <w:rPr>
          <w:rFonts w:ascii="Times New Roman" w:eastAsiaTheme="minorEastAsia" w:hAnsi="Times New Roman" w:cs="Times New Roman"/>
          <w:sz w:val="20"/>
          <w:szCs w:val="20"/>
          <w:vertAlign w:val="subscript"/>
          <w:lang w:val="en-US"/>
        </w:rPr>
        <w:t>t</w:t>
      </w:r>
      <w:r w:rsidR="00AA3528" w:rsidRPr="00AA3528">
        <w:rPr>
          <w:rFonts w:ascii="Times New Roman" w:hAnsi="Times New Roman" w:cs="Times New Roman"/>
          <w:color w:val="000000"/>
          <w:sz w:val="20"/>
          <w:szCs w:val="20"/>
          <w:lang w:val="en-US" w:eastAsia="fr-FR"/>
        </w:rPr>
        <w:t xml:space="preserve">.to </w:t>
      </w:r>
      <w:r>
        <w:rPr>
          <w:rFonts w:ascii="Times New Roman" w:hAnsi="Times New Roman" w:cs="Times New Roman"/>
          <w:color w:val="000000"/>
          <w:sz w:val="20"/>
          <w:szCs w:val="20"/>
          <w:lang w:val="en-US" w:eastAsia="fr-FR"/>
        </w:rPr>
        <w:t>reach eight</w:t>
      </w:r>
      <w:r w:rsidR="00AA3528" w:rsidRPr="00AA3528">
        <w:rPr>
          <w:rFonts w:ascii="Times New Roman" w:hAnsi="Times New Roman" w:cs="Times New Roman"/>
          <w:color w:val="000000"/>
          <w:sz w:val="20"/>
          <w:szCs w:val="20"/>
          <w:lang w:val="en-US" w:eastAsia="fr-FR"/>
        </w:rPr>
        <w:t xml:space="preserve"> </w:t>
      </w:r>
      <w:r>
        <w:rPr>
          <w:rFonts w:ascii="Times New Roman" w:hAnsi="Times New Roman" w:cs="Times New Roman"/>
          <w:color w:val="000000"/>
          <w:sz w:val="20"/>
          <w:szCs w:val="20"/>
          <w:lang w:val="en-US" w:eastAsia="fr-FR"/>
        </w:rPr>
        <w:t xml:space="preserve">different </w:t>
      </w:r>
      <w:r w:rsidR="00AA3528" w:rsidRPr="00AA3528">
        <w:rPr>
          <w:rFonts w:ascii="Times New Roman" w:hAnsi="Times New Roman" w:cs="Times New Roman"/>
          <w:color w:val="000000"/>
          <w:sz w:val="20"/>
          <w:szCs w:val="20"/>
          <w:lang w:val="en-US" w:eastAsia="fr-FR"/>
        </w:rPr>
        <w:t xml:space="preserve">maximum inhibitions of 10, 15, 20, 25, 30, 40, 60 and 100 % (e.g. </w:t>
      </w:r>
      <w:r w:rsidR="00AA3528" w:rsidRPr="00AA3528">
        <w:rPr>
          <w:rFonts w:ascii="Times New Roman" w:eastAsiaTheme="minorEastAsia" w:hAnsi="Times New Roman" w:cs="Times New Roman"/>
          <w:sz w:val="20"/>
          <w:szCs w:val="20"/>
          <w:lang w:val="en-US"/>
        </w:rPr>
        <w:t>T</w:t>
      </w:r>
      <w:r w:rsidR="00AA3528" w:rsidRPr="00AA3528">
        <w:rPr>
          <w:rFonts w:ascii="Times New Roman" w:eastAsiaTheme="minorEastAsia" w:hAnsi="Times New Roman" w:cs="Times New Roman"/>
          <w:sz w:val="20"/>
          <w:szCs w:val="20"/>
          <w:vertAlign w:val="subscript"/>
          <w:lang w:val="en-US"/>
        </w:rPr>
        <w:t>t</w:t>
      </w:r>
      <w:r w:rsidR="00AA3528" w:rsidRPr="00AA3528">
        <w:rPr>
          <w:rFonts w:ascii="Times New Roman" w:hAnsi="Times New Roman" w:cs="Times New Roman"/>
          <w:color w:val="000000"/>
          <w:sz w:val="20"/>
          <w:szCs w:val="20"/>
          <w:lang w:val="en-US" w:eastAsia="fr-FR"/>
        </w:rPr>
        <w:t xml:space="preserve"> = 25 and 15</w:t>
      </w:r>
      <w:r w:rsidR="008A3558">
        <w:rPr>
          <w:rFonts w:ascii="Times New Roman" w:hAnsi="Times New Roman" w:cs="Times New Roman"/>
          <w:color w:val="000000"/>
          <w:sz w:val="20"/>
          <w:szCs w:val="20"/>
          <w:lang w:val="en-US" w:eastAsia="fr-FR"/>
        </w:rPr>
        <w:t xml:space="preserve"> </w:t>
      </w:r>
      <w:r w:rsidR="00AA3528" w:rsidRPr="00AA3528">
        <w:rPr>
          <w:rFonts w:ascii="Times New Roman" w:hAnsi="Times New Roman" w:cs="Times New Roman"/>
          <w:color w:val="000000"/>
          <w:sz w:val="20"/>
          <w:szCs w:val="20"/>
          <w:lang w:val="en-US" w:eastAsia="fr-FR"/>
        </w:rPr>
        <w:t xml:space="preserve">°C for </w:t>
      </w:r>
      <w:r w:rsidRPr="00AA3528">
        <w:rPr>
          <w:rFonts w:ascii="Times New Roman" w:hAnsi="Times New Roman" w:cs="Times New Roman"/>
          <w:color w:val="000000"/>
          <w:sz w:val="20"/>
          <w:szCs w:val="20"/>
          <w:lang w:val="en-US" w:eastAsia="fr-FR"/>
        </w:rPr>
        <w:t xml:space="preserve">respectively </w:t>
      </w:r>
      <w:r w:rsidR="00AA3528" w:rsidRPr="00AA3528">
        <w:rPr>
          <w:rFonts w:ascii="Times New Roman" w:hAnsi="Times New Roman" w:cs="Times New Roman"/>
          <w:color w:val="000000"/>
          <w:sz w:val="20"/>
          <w:szCs w:val="20"/>
          <w:lang w:val="en-US" w:eastAsia="fr-FR"/>
        </w:rPr>
        <w:t>maximum inhibitions of 20</w:t>
      </w:r>
      <w:r w:rsidR="008A3558">
        <w:rPr>
          <w:rFonts w:ascii="Times New Roman" w:hAnsi="Times New Roman" w:cs="Times New Roman"/>
          <w:color w:val="000000"/>
          <w:sz w:val="20"/>
          <w:szCs w:val="20"/>
          <w:lang w:val="en-US" w:eastAsia="fr-FR"/>
        </w:rPr>
        <w:t xml:space="preserve"> </w:t>
      </w:r>
      <w:r w:rsidR="00AA3528" w:rsidRPr="00AA3528">
        <w:rPr>
          <w:rFonts w:ascii="Times New Roman" w:hAnsi="Times New Roman" w:cs="Times New Roman"/>
          <w:color w:val="000000"/>
          <w:sz w:val="20"/>
          <w:szCs w:val="20"/>
          <w:lang w:val="en-US" w:eastAsia="fr-FR"/>
        </w:rPr>
        <w:t xml:space="preserve">% and 40 %). </w:t>
      </w:r>
    </w:p>
    <w:p w14:paraId="1121043D" w14:textId="200B7A7B" w:rsidR="00AA3528" w:rsidRPr="00AA3528" w:rsidRDefault="00AA3528" w:rsidP="00014C1A">
      <w:pPr>
        <w:spacing w:after="120"/>
        <w:jc w:val="both"/>
        <w:rPr>
          <w:rFonts w:ascii="Times New Roman" w:hAnsi="Times New Roman" w:cs="Times New Roman"/>
          <w:color w:val="000000"/>
          <w:sz w:val="20"/>
          <w:szCs w:val="20"/>
          <w:lang w:val="en-US" w:eastAsia="fr-FR"/>
        </w:rPr>
      </w:pPr>
      <w:r w:rsidRPr="00AA3528">
        <w:rPr>
          <w:rFonts w:ascii="Times New Roman" w:hAnsi="Times New Roman" w:cs="Times New Roman"/>
          <w:color w:val="000000"/>
          <w:sz w:val="20"/>
          <w:szCs w:val="20"/>
          <w:lang w:val="en-US" w:eastAsia="fr-FR"/>
        </w:rPr>
        <w:t xml:space="preserve">The seasonal variation of EF </w:t>
      </w:r>
      <w:r w:rsidR="00DA1985">
        <w:rPr>
          <w:rFonts w:ascii="Times New Roman" w:hAnsi="Times New Roman" w:cs="Times New Roman"/>
          <w:color w:val="000000"/>
          <w:sz w:val="20"/>
          <w:szCs w:val="20"/>
          <w:lang w:val="en-US" w:eastAsia="fr-FR"/>
        </w:rPr>
        <w:t>(</w:t>
      </w:r>
      <w:proofErr w:type="gramStart"/>
      <w:r w:rsidR="00DA1985" w:rsidRPr="00AA3528">
        <w:rPr>
          <w:rFonts w:ascii="Times New Roman" w:eastAsiaTheme="minorEastAsia" w:hAnsi="Times New Roman" w:cs="Times New Roman"/>
          <w:sz w:val="20"/>
          <w:szCs w:val="20"/>
          <w:lang w:val="en-US"/>
        </w:rPr>
        <w:t>EF</w:t>
      </w:r>
      <w:r w:rsidR="00DA1985" w:rsidRPr="00AA3528">
        <w:rPr>
          <w:rFonts w:ascii="Times New Roman" w:hAnsi="Times New Roman" w:cs="Times New Roman"/>
          <w:color w:val="000000"/>
          <w:sz w:val="20"/>
          <w:szCs w:val="20"/>
          <w:lang w:val="en-US" w:eastAsia="fr-FR"/>
        </w:rPr>
        <w:t>(</w:t>
      </w:r>
      <w:proofErr w:type="gramEnd"/>
      <w:r w:rsidR="00DA1985" w:rsidRPr="00AA3528">
        <w:rPr>
          <w:rFonts w:ascii="Times New Roman" w:hAnsi="Times New Roman" w:cs="Times New Roman"/>
          <w:color w:val="000000"/>
          <w:sz w:val="20"/>
          <w:szCs w:val="20"/>
          <w:lang w:val="en-US" w:eastAsia="fr-FR"/>
        </w:rPr>
        <w:t>season)</w:t>
      </w:r>
      <w:r w:rsidR="00DA1985">
        <w:rPr>
          <w:rFonts w:ascii="Times New Roman" w:hAnsi="Times New Roman" w:cs="Times New Roman"/>
          <w:color w:val="000000"/>
          <w:sz w:val="20"/>
          <w:szCs w:val="20"/>
          <w:lang w:val="en-US" w:eastAsia="fr-FR"/>
        </w:rPr>
        <w:t>)</w:t>
      </w:r>
      <w:r w:rsidR="00DA1985" w:rsidRPr="00AA3528">
        <w:rPr>
          <w:rFonts w:ascii="Times New Roman" w:hAnsi="Times New Roman" w:cs="Times New Roman"/>
          <w:color w:val="000000"/>
          <w:sz w:val="20"/>
          <w:szCs w:val="20"/>
          <w:lang w:val="en-US" w:eastAsia="fr-FR"/>
        </w:rPr>
        <w:t xml:space="preserve"> </w:t>
      </w:r>
      <w:r w:rsidRPr="00AA3528">
        <w:rPr>
          <w:rFonts w:ascii="Times New Roman" w:hAnsi="Times New Roman" w:cs="Times New Roman"/>
          <w:color w:val="000000"/>
          <w:sz w:val="20"/>
          <w:szCs w:val="20"/>
          <w:lang w:val="en-US" w:eastAsia="fr-FR"/>
        </w:rPr>
        <w:t>is driven by several factors including leaf age and phenology, prevailing meteorological conditions and summer drought (Staudt et al., 2002, 2003)</w:t>
      </w:r>
      <w:r w:rsidR="00DA1985">
        <w:rPr>
          <w:rFonts w:ascii="Times New Roman" w:hAnsi="Times New Roman" w:cs="Times New Roman"/>
          <w:color w:val="000000"/>
          <w:sz w:val="20"/>
          <w:szCs w:val="20"/>
          <w:lang w:val="en-US" w:eastAsia="fr-FR"/>
        </w:rPr>
        <w:t xml:space="preserve">. The exact </w:t>
      </w:r>
      <w:r w:rsidRPr="00AA3528">
        <w:rPr>
          <w:rFonts w:ascii="Times New Roman" w:hAnsi="Times New Roman" w:cs="Times New Roman"/>
          <w:color w:val="000000"/>
          <w:sz w:val="20"/>
          <w:szCs w:val="20"/>
          <w:lang w:val="en-US" w:eastAsia="fr-FR"/>
        </w:rPr>
        <w:t xml:space="preserve">relationships </w:t>
      </w:r>
      <w:r w:rsidR="00DA1985">
        <w:rPr>
          <w:rFonts w:ascii="Times New Roman" w:hAnsi="Times New Roman" w:cs="Times New Roman"/>
          <w:color w:val="000000"/>
          <w:sz w:val="20"/>
          <w:szCs w:val="20"/>
          <w:lang w:val="en-US" w:eastAsia="fr-FR"/>
        </w:rPr>
        <w:t xml:space="preserve">of these factors to </w:t>
      </w:r>
      <w:r w:rsidR="00F2280C">
        <w:rPr>
          <w:rFonts w:ascii="Times New Roman" w:hAnsi="Times New Roman" w:cs="Times New Roman"/>
          <w:color w:val="000000"/>
          <w:sz w:val="20"/>
          <w:szCs w:val="20"/>
          <w:lang w:val="en-US" w:eastAsia="fr-FR"/>
        </w:rPr>
        <w:t xml:space="preserve">the </w:t>
      </w:r>
      <w:r w:rsidR="00DA1985">
        <w:rPr>
          <w:rFonts w:ascii="Times New Roman" w:hAnsi="Times New Roman" w:cs="Times New Roman"/>
          <w:color w:val="000000"/>
          <w:sz w:val="20"/>
          <w:szCs w:val="20"/>
          <w:lang w:val="en-US" w:eastAsia="fr-FR"/>
        </w:rPr>
        <w:t xml:space="preserve">EF </w:t>
      </w:r>
      <w:r w:rsidR="00F2280C">
        <w:rPr>
          <w:rFonts w:ascii="Times New Roman" w:hAnsi="Times New Roman" w:cs="Times New Roman"/>
          <w:color w:val="000000"/>
          <w:sz w:val="20"/>
          <w:szCs w:val="20"/>
          <w:lang w:val="en-US" w:eastAsia="fr-FR"/>
        </w:rPr>
        <w:t xml:space="preserve">of QI </w:t>
      </w:r>
      <w:r w:rsidRPr="00AA3528">
        <w:rPr>
          <w:rFonts w:ascii="Times New Roman" w:hAnsi="Times New Roman" w:cs="Times New Roman"/>
          <w:color w:val="000000"/>
          <w:sz w:val="20"/>
          <w:szCs w:val="20"/>
          <w:lang w:val="en-US" w:eastAsia="fr-FR"/>
        </w:rPr>
        <w:t xml:space="preserve">are not yet know. Therefore, we used the algorithm described in Staudt et al. (2000), which simulates a bell-shaped seasonal variation of EF as a function of a time variable, here the day of year (D): </w:t>
      </w:r>
    </w:p>
    <w:p w14:paraId="3AAC4F4F" w14:textId="0E93A43D" w:rsidR="00AA3528" w:rsidRPr="00014C1A" w:rsidRDefault="00014C1A" w:rsidP="00AA3528">
      <w:pPr>
        <w:rPr>
          <w:rFonts w:ascii="Times New Roman" w:hAnsi="Times New Roman" w:cs="Times New Roman"/>
          <w:b/>
          <w:color w:val="000000"/>
          <w:sz w:val="20"/>
          <w:szCs w:val="20"/>
          <w:lang w:val="en-US" w:eastAsia="fr-FR"/>
        </w:rPr>
      </w:pPr>
      <m:oMath>
        <m:r>
          <m:rPr>
            <m:sty m:val="bi"/>
          </m:rPr>
          <w:rPr>
            <w:rFonts w:ascii="Cambria Math" w:hAnsi="Cambria Math" w:cs="Times New Roman"/>
            <w:sz w:val="20"/>
            <w:szCs w:val="20"/>
          </w:rPr>
          <m:t>EF</m:t>
        </m:r>
        <m:d>
          <m:dPr>
            <m:ctrlPr>
              <w:rPr>
                <w:rFonts w:ascii="Cambria Math" w:hAnsi="Cambria Math" w:cs="Times New Roman"/>
                <w:b/>
                <w:i/>
                <w:sz w:val="20"/>
                <w:szCs w:val="20"/>
              </w:rPr>
            </m:ctrlPr>
          </m:dPr>
          <m:e>
            <m:r>
              <m:rPr>
                <m:sty m:val="bi"/>
              </m:rPr>
              <w:rPr>
                <w:rFonts w:ascii="Cambria Math" w:hAnsi="Cambria Math" w:cs="Times New Roman"/>
                <w:sz w:val="20"/>
                <w:szCs w:val="20"/>
              </w:rPr>
              <m:t>D</m:t>
            </m:r>
          </m:e>
        </m:d>
        <m:r>
          <m:rPr>
            <m:sty m:val="b"/>
          </m:rPr>
          <w:rPr>
            <w:rFonts w:ascii="Cambria Math" w:hAnsi="Cambria Math" w:cs="Times New Roman"/>
            <w:sz w:val="20"/>
            <w:szCs w:val="20"/>
            <w:lang w:val="en-US"/>
          </w:rPr>
          <m:t>=</m:t>
        </m:r>
        <m:sSub>
          <m:sSubPr>
            <m:ctrlPr>
              <w:rPr>
                <w:rFonts w:ascii="Cambria Math" w:hAnsi="Cambria Math" w:cs="Times New Roman"/>
                <w:b/>
                <w:i/>
                <w:sz w:val="20"/>
                <w:szCs w:val="20"/>
              </w:rPr>
            </m:ctrlPr>
          </m:sSubPr>
          <m:e>
            <m:r>
              <m:rPr>
                <m:sty m:val="bi"/>
              </m:rPr>
              <w:rPr>
                <w:rFonts w:ascii="Cambria Math" w:hAnsi="Cambria Math" w:cs="Times New Roman"/>
                <w:sz w:val="20"/>
                <w:szCs w:val="20"/>
              </w:rPr>
              <m:t>EF</m:t>
            </m:r>
          </m:e>
          <m:sub>
            <m:r>
              <m:rPr>
                <m:sty m:val="bi"/>
              </m:rPr>
              <w:rPr>
                <w:rFonts w:ascii="Cambria Math" w:hAnsi="Cambria Math" w:cs="Times New Roman"/>
                <w:sz w:val="20"/>
                <w:szCs w:val="20"/>
              </w:rPr>
              <m:t>max</m:t>
            </m:r>
          </m:sub>
        </m:sSub>
        <m:r>
          <m:rPr>
            <m:sty m:val="b"/>
          </m:rPr>
          <w:rPr>
            <w:rFonts w:ascii="Cambria Math" w:hAnsi="Cambria Math" w:cs="Times New Roman"/>
            <w:sz w:val="20"/>
            <w:szCs w:val="20"/>
            <w:lang w:val="en-US"/>
          </w:rPr>
          <m:t>-</m:t>
        </m:r>
        <m:r>
          <m:rPr>
            <m:sty m:val="bi"/>
          </m:rPr>
          <w:rPr>
            <w:rFonts w:ascii="Cambria Math" w:hAnsi="Cambria Math" w:cs="Times New Roman"/>
            <w:sz w:val="20"/>
            <w:szCs w:val="20"/>
            <w:lang w:val="en-US"/>
          </w:rPr>
          <m:t>A</m:t>
        </m:r>
        <m:r>
          <m:rPr>
            <m:sty m:val="b"/>
          </m:rPr>
          <w:rPr>
            <w:rFonts w:ascii="Cambria Math" w:hAnsi="Cambria Math" w:cs="Times New Roman"/>
            <w:sz w:val="20"/>
            <w:szCs w:val="20"/>
            <w:lang w:val="en-US"/>
          </w:rPr>
          <m:t xml:space="preserve"> ×</m:t>
        </m:r>
        <m:d>
          <m:dPr>
            <m:begChr m:val="⟦"/>
            <m:endChr m:val="⟧"/>
            <m:ctrlPr>
              <w:rPr>
                <w:rFonts w:ascii="Cambria Math" w:hAnsi="Cambria Math" w:cs="Times New Roman"/>
                <w:b/>
                <w:sz w:val="20"/>
                <w:szCs w:val="20"/>
                <w:lang w:val="en-US"/>
              </w:rPr>
            </m:ctrlPr>
          </m:dPr>
          <m:e>
            <m:r>
              <m:rPr>
                <m:sty m:val="bi"/>
              </m:rPr>
              <w:rPr>
                <w:rFonts w:ascii="Cambria Math" w:hAnsi="Cambria Math" w:cs="Times New Roman"/>
                <w:sz w:val="20"/>
                <w:szCs w:val="20"/>
                <w:lang w:val="en-US"/>
              </w:rPr>
              <m:t>1-</m:t>
            </m:r>
            <m:r>
              <m:rPr>
                <m:sty m:val="b"/>
              </m:rPr>
              <w:rPr>
                <w:rFonts w:ascii="Cambria Math" w:hAnsi="Cambria Math" w:cs="Times New Roman"/>
                <w:sz w:val="20"/>
                <w:szCs w:val="20"/>
                <w:lang w:val="en-US"/>
              </w:rPr>
              <m:t>exp⁡</m:t>
            </m:r>
            <m:r>
              <m:rPr>
                <m:sty m:val="bi"/>
              </m:rPr>
              <w:rPr>
                <w:rFonts w:ascii="Cambria Math" w:hAnsi="Cambria Math" w:cs="Times New Roman"/>
                <w:sz w:val="20"/>
                <w:szCs w:val="20"/>
                <w:lang w:val="en-US"/>
              </w:rPr>
              <m:t>(-</m:t>
            </m:r>
            <m:f>
              <m:fPr>
                <m:ctrlPr>
                  <w:rPr>
                    <w:rFonts w:ascii="Cambria Math" w:hAnsi="Cambria Math" w:cs="Times New Roman"/>
                    <w:b/>
                    <w:sz w:val="20"/>
                    <w:szCs w:val="20"/>
                  </w:rPr>
                </m:ctrlPr>
              </m:fPr>
              <m:num>
                <m:r>
                  <m:rPr>
                    <m:sty m:val="bi"/>
                  </m:rPr>
                  <w:rPr>
                    <w:rFonts w:ascii="Cambria Math" w:hAnsi="Cambria Math" w:cs="Times New Roman"/>
                    <w:sz w:val="20"/>
                    <w:szCs w:val="20"/>
                    <w:lang w:val="en-US"/>
                  </w:rPr>
                  <m:t>(D-</m:t>
                </m:r>
                <m:sSup>
                  <m:sSupPr>
                    <m:ctrlPr>
                      <w:rPr>
                        <w:rFonts w:ascii="Cambria Math" w:hAnsi="Cambria Math" w:cs="Times New Roman"/>
                        <w:b/>
                        <w:i/>
                        <w:sz w:val="20"/>
                        <w:szCs w:val="20"/>
                        <w:lang w:val="en-US"/>
                      </w:rPr>
                    </m:ctrlPr>
                  </m:sSupPr>
                  <m:e>
                    <m:r>
                      <m:rPr>
                        <m:sty m:val="bi"/>
                      </m:rPr>
                      <w:rPr>
                        <w:rFonts w:ascii="Cambria Math" w:hAnsi="Cambria Math" w:cs="Times New Roman"/>
                        <w:sz w:val="20"/>
                        <w:szCs w:val="20"/>
                        <w:lang w:val="en-US"/>
                      </w:rPr>
                      <m:t>Do)</m:t>
                    </m:r>
                  </m:e>
                  <m:sup>
                    <m:r>
                      <m:rPr>
                        <m:sty m:val="bi"/>
                      </m:rPr>
                      <w:rPr>
                        <w:rFonts w:ascii="Cambria Math" w:hAnsi="Cambria Math" w:cs="Times New Roman"/>
                        <w:sz w:val="20"/>
                        <w:szCs w:val="20"/>
                        <w:lang w:val="en-US"/>
                      </w:rPr>
                      <m:t>2</m:t>
                    </m:r>
                  </m:sup>
                </m:sSup>
              </m:num>
              <m:den>
                <m:r>
                  <m:rPr>
                    <m:sty m:val="bi"/>
                  </m:rPr>
                  <w:rPr>
                    <w:rFonts w:ascii="Cambria Math" w:hAnsi="Cambria Math" w:cs="Times New Roman"/>
                    <w:sz w:val="20"/>
                    <w:szCs w:val="20"/>
                  </w:rPr>
                  <m:t>T</m:t>
                </m:r>
              </m:den>
            </m:f>
            <m:r>
              <m:rPr>
                <m:sty m:val="bi"/>
              </m:rPr>
              <w:rPr>
                <w:rFonts w:ascii="Cambria Math" w:hAnsi="Cambria Math" w:cs="Times New Roman"/>
                <w:sz w:val="20"/>
                <w:szCs w:val="20"/>
                <w:lang w:val="en-US"/>
              </w:rPr>
              <m:t>)</m:t>
            </m:r>
          </m:e>
        </m:d>
      </m:oMath>
      <w:r w:rsidR="00AA3528" w:rsidRPr="00014C1A">
        <w:rPr>
          <w:rFonts w:ascii="Times New Roman" w:eastAsiaTheme="minorEastAsia" w:hAnsi="Times New Roman" w:cs="Times New Roman"/>
          <w:b/>
          <w:sz w:val="20"/>
          <w:szCs w:val="20"/>
          <w:lang w:val="en-US"/>
        </w:rPr>
        <w:tab/>
      </w:r>
      <w:r w:rsidR="00AA3528" w:rsidRPr="00014C1A">
        <w:rPr>
          <w:rFonts w:ascii="Times New Roman" w:eastAsiaTheme="minorEastAsia" w:hAnsi="Times New Roman" w:cs="Times New Roman"/>
          <w:b/>
          <w:sz w:val="20"/>
          <w:szCs w:val="20"/>
          <w:lang w:val="en-US"/>
        </w:rPr>
        <w:tab/>
      </w:r>
      <w:r w:rsidR="00AA3528" w:rsidRPr="00014C1A">
        <w:rPr>
          <w:rFonts w:ascii="Times New Roman" w:eastAsiaTheme="minorEastAsia" w:hAnsi="Times New Roman" w:cs="Times New Roman"/>
          <w:b/>
          <w:sz w:val="20"/>
          <w:szCs w:val="20"/>
          <w:lang w:val="en-US"/>
        </w:rPr>
        <w:tab/>
      </w:r>
      <w:r w:rsidR="00AA3528" w:rsidRPr="00014C1A">
        <w:rPr>
          <w:rFonts w:ascii="Times New Roman" w:eastAsiaTheme="minorEastAsia" w:hAnsi="Times New Roman" w:cs="Times New Roman"/>
          <w:b/>
          <w:sz w:val="20"/>
          <w:szCs w:val="20"/>
          <w:lang w:val="en-US"/>
        </w:rPr>
        <w:tab/>
      </w:r>
      <w:r w:rsidR="00AA3528" w:rsidRPr="00014C1A">
        <w:rPr>
          <w:rFonts w:ascii="Times New Roman" w:eastAsiaTheme="minorEastAsia" w:hAnsi="Times New Roman" w:cs="Times New Roman"/>
          <w:b/>
          <w:sz w:val="20"/>
          <w:szCs w:val="20"/>
          <w:lang w:val="en-US"/>
        </w:rPr>
        <w:tab/>
      </w:r>
      <w:r w:rsidR="00AA3528" w:rsidRPr="00014C1A">
        <w:rPr>
          <w:rFonts w:ascii="Times New Roman" w:eastAsiaTheme="minorEastAsia" w:hAnsi="Times New Roman" w:cs="Times New Roman"/>
          <w:b/>
          <w:sz w:val="20"/>
          <w:szCs w:val="20"/>
          <w:lang w:val="en-US"/>
        </w:rPr>
        <w:tab/>
      </w:r>
      <w:r w:rsidR="00AA3528" w:rsidRPr="00014C1A">
        <w:rPr>
          <w:rFonts w:ascii="Times New Roman" w:eastAsiaTheme="minorEastAsia" w:hAnsi="Times New Roman" w:cs="Times New Roman"/>
          <w:b/>
          <w:sz w:val="20"/>
          <w:szCs w:val="20"/>
          <w:lang w:val="en-US"/>
        </w:rPr>
        <w:tab/>
      </w:r>
    </w:p>
    <w:p w14:paraId="628219CD" w14:textId="6F4C32A2" w:rsidR="00DA1985" w:rsidRDefault="00AA3528" w:rsidP="00014C1A">
      <w:pPr>
        <w:spacing w:after="120"/>
        <w:jc w:val="both"/>
        <w:rPr>
          <w:rFonts w:ascii="Times New Roman" w:hAnsi="Times New Roman" w:cs="Times New Roman"/>
          <w:color w:val="000000"/>
          <w:sz w:val="20"/>
          <w:szCs w:val="20"/>
          <w:lang w:val="en-US" w:eastAsia="fr-FR"/>
        </w:rPr>
      </w:pPr>
      <w:proofErr w:type="gramStart"/>
      <w:r w:rsidRPr="00AA3528">
        <w:rPr>
          <w:rFonts w:ascii="Times New Roman" w:hAnsi="Times New Roman" w:cs="Times New Roman"/>
          <w:color w:val="000000"/>
          <w:sz w:val="20"/>
          <w:szCs w:val="20"/>
          <w:lang w:val="en-US" w:eastAsia="fr-FR"/>
        </w:rPr>
        <w:t>where</w:t>
      </w:r>
      <w:proofErr w:type="gramEnd"/>
      <w:r w:rsidRPr="00AA3528">
        <w:rPr>
          <w:rFonts w:ascii="Times New Roman" w:hAnsi="Times New Roman" w:cs="Times New Roman"/>
          <w:color w:val="000000"/>
          <w:sz w:val="20"/>
          <w:szCs w:val="20"/>
          <w:lang w:val="en-US" w:eastAsia="fr-FR"/>
        </w:rPr>
        <w:t xml:space="preserve"> </w:t>
      </w:r>
      <w:proofErr w:type="spellStart"/>
      <w:r w:rsidRPr="00AA3528">
        <w:rPr>
          <w:rFonts w:ascii="Times New Roman" w:hAnsi="Times New Roman" w:cs="Times New Roman"/>
          <w:color w:val="000000"/>
          <w:sz w:val="20"/>
          <w:szCs w:val="20"/>
          <w:lang w:val="en-US" w:eastAsia="fr-FR"/>
        </w:rPr>
        <w:t>EF</w:t>
      </w:r>
      <w:r w:rsidRPr="00AA3528">
        <w:rPr>
          <w:rFonts w:ascii="Times New Roman" w:hAnsi="Times New Roman" w:cs="Times New Roman"/>
          <w:color w:val="000000"/>
          <w:sz w:val="20"/>
          <w:szCs w:val="20"/>
          <w:vertAlign w:val="subscript"/>
          <w:lang w:val="en-US" w:eastAsia="fr-FR"/>
        </w:rPr>
        <w:t>max</w:t>
      </w:r>
      <w:proofErr w:type="spellEnd"/>
      <w:r w:rsidRPr="00AA3528">
        <w:rPr>
          <w:rFonts w:ascii="Times New Roman" w:hAnsi="Times New Roman" w:cs="Times New Roman"/>
          <w:color w:val="000000"/>
          <w:sz w:val="20"/>
          <w:szCs w:val="20"/>
          <w:lang w:val="en-US" w:eastAsia="fr-FR"/>
        </w:rPr>
        <w:t xml:space="preserve"> is the maximum EF in the year, </w:t>
      </w:r>
      <w:r w:rsidRPr="00AA3528">
        <w:rPr>
          <w:rFonts w:ascii="Times New Roman" w:hAnsi="Times New Roman" w:cs="Times New Roman"/>
          <w:i/>
          <w:color w:val="000000"/>
          <w:sz w:val="20"/>
          <w:szCs w:val="20"/>
          <w:lang w:val="en-US" w:eastAsia="fr-FR"/>
        </w:rPr>
        <w:t>A</w:t>
      </w:r>
      <w:r w:rsidRPr="00AA3528">
        <w:rPr>
          <w:rFonts w:ascii="Times New Roman" w:hAnsi="Times New Roman" w:cs="Times New Roman"/>
          <w:color w:val="000000"/>
          <w:sz w:val="20"/>
          <w:szCs w:val="20"/>
          <w:lang w:val="en-US" w:eastAsia="fr-FR"/>
        </w:rPr>
        <w:t xml:space="preserve"> the annual EF amplitude (= </w:t>
      </w:r>
      <w:proofErr w:type="spellStart"/>
      <w:r w:rsidRPr="00AA3528">
        <w:rPr>
          <w:rFonts w:ascii="Times New Roman" w:hAnsi="Times New Roman" w:cs="Times New Roman"/>
          <w:color w:val="000000"/>
          <w:sz w:val="20"/>
          <w:szCs w:val="20"/>
          <w:lang w:val="en-US" w:eastAsia="fr-FR"/>
        </w:rPr>
        <w:t>EF</w:t>
      </w:r>
      <w:r w:rsidRPr="00AA3528">
        <w:rPr>
          <w:rFonts w:ascii="Times New Roman" w:hAnsi="Times New Roman" w:cs="Times New Roman"/>
          <w:color w:val="000000"/>
          <w:sz w:val="20"/>
          <w:szCs w:val="20"/>
          <w:vertAlign w:val="subscript"/>
          <w:lang w:val="en-US" w:eastAsia="fr-FR"/>
        </w:rPr>
        <w:t>max</w:t>
      </w:r>
      <w:proofErr w:type="spellEnd"/>
      <w:r w:rsidRPr="00AA3528">
        <w:rPr>
          <w:rFonts w:ascii="Times New Roman" w:hAnsi="Times New Roman" w:cs="Times New Roman"/>
          <w:color w:val="000000"/>
          <w:sz w:val="20"/>
          <w:szCs w:val="20"/>
          <w:lang w:val="en-US" w:eastAsia="fr-FR"/>
        </w:rPr>
        <w:t xml:space="preserve"> - </w:t>
      </w:r>
      <w:proofErr w:type="spellStart"/>
      <w:r w:rsidRPr="00AA3528">
        <w:rPr>
          <w:rFonts w:ascii="Times New Roman" w:hAnsi="Times New Roman" w:cs="Times New Roman"/>
          <w:color w:val="000000"/>
          <w:sz w:val="20"/>
          <w:szCs w:val="20"/>
          <w:lang w:val="en-US" w:eastAsia="fr-FR"/>
        </w:rPr>
        <w:t>EF</w:t>
      </w:r>
      <w:r w:rsidRPr="00AA3528">
        <w:rPr>
          <w:rFonts w:ascii="Times New Roman" w:hAnsi="Times New Roman" w:cs="Times New Roman"/>
          <w:color w:val="000000"/>
          <w:sz w:val="20"/>
          <w:szCs w:val="20"/>
          <w:vertAlign w:val="subscript"/>
          <w:lang w:val="en-US" w:eastAsia="fr-FR"/>
        </w:rPr>
        <w:t>min</w:t>
      </w:r>
      <w:proofErr w:type="spellEnd"/>
      <w:r w:rsidRPr="00AA3528">
        <w:rPr>
          <w:rFonts w:ascii="Times New Roman" w:hAnsi="Times New Roman" w:cs="Times New Roman"/>
          <w:color w:val="000000"/>
          <w:sz w:val="20"/>
          <w:szCs w:val="20"/>
          <w:lang w:val="en-US" w:eastAsia="fr-FR"/>
        </w:rPr>
        <w:t>), D</w:t>
      </w:r>
      <w:r w:rsidRPr="00AA3528">
        <w:rPr>
          <w:rFonts w:ascii="Times New Roman" w:hAnsi="Times New Roman" w:cs="Times New Roman"/>
          <w:color w:val="000000"/>
          <w:sz w:val="20"/>
          <w:szCs w:val="20"/>
          <w:vertAlign w:val="subscript"/>
          <w:lang w:val="en-US" w:eastAsia="fr-FR"/>
        </w:rPr>
        <w:t>o</w:t>
      </w:r>
      <w:r w:rsidRPr="00AA3528">
        <w:rPr>
          <w:rFonts w:ascii="Times New Roman" w:hAnsi="Times New Roman" w:cs="Times New Roman"/>
          <w:color w:val="000000"/>
          <w:sz w:val="20"/>
          <w:szCs w:val="20"/>
          <w:lang w:val="en-US" w:eastAsia="fr-FR"/>
        </w:rPr>
        <w:t xml:space="preserve"> the day of </w:t>
      </w:r>
      <w:proofErr w:type="spellStart"/>
      <w:r w:rsidRPr="00AA3528">
        <w:rPr>
          <w:rFonts w:ascii="Times New Roman" w:hAnsi="Times New Roman" w:cs="Times New Roman"/>
          <w:color w:val="000000"/>
          <w:sz w:val="20"/>
          <w:szCs w:val="20"/>
          <w:lang w:val="en-US" w:eastAsia="fr-FR"/>
        </w:rPr>
        <w:t>EF</w:t>
      </w:r>
      <w:r w:rsidRPr="00AA3528">
        <w:rPr>
          <w:rFonts w:ascii="Times New Roman" w:hAnsi="Times New Roman" w:cs="Times New Roman"/>
          <w:color w:val="000000"/>
          <w:sz w:val="20"/>
          <w:szCs w:val="20"/>
          <w:vertAlign w:val="subscript"/>
          <w:lang w:val="en-US" w:eastAsia="fr-FR"/>
        </w:rPr>
        <w:t>max</w:t>
      </w:r>
      <w:proofErr w:type="spellEnd"/>
      <w:r w:rsidRPr="00AA3528">
        <w:rPr>
          <w:rFonts w:ascii="Times New Roman" w:hAnsi="Times New Roman" w:cs="Times New Roman"/>
          <w:color w:val="000000"/>
          <w:sz w:val="20"/>
          <w:szCs w:val="20"/>
          <w:lang w:val="en-US" w:eastAsia="fr-FR"/>
        </w:rPr>
        <w:t xml:space="preserve"> and </w:t>
      </w:r>
      <w:r w:rsidRPr="00AA3528">
        <w:rPr>
          <w:rFonts w:ascii="Times New Roman" w:hAnsi="Times New Roman" w:cs="Times New Roman"/>
          <w:i/>
          <w:color w:val="000000"/>
          <w:sz w:val="20"/>
          <w:szCs w:val="20"/>
          <w:lang w:val="en-US" w:eastAsia="fr-FR"/>
        </w:rPr>
        <w:t>T</w:t>
      </w:r>
      <w:r w:rsidRPr="00AA3528">
        <w:rPr>
          <w:rFonts w:ascii="Times New Roman" w:hAnsi="Times New Roman" w:cs="Times New Roman"/>
          <w:color w:val="000000"/>
          <w:sz w:val="20"/>
          <w:szCs w:val="20"/>
          <w:lang w:val="en-US" w:eastAsia="fr-FR"/>
        </w:rPr>
        <w:t xml:space="preserve"> a coefficient describing the length (duration) of the EF amplitude (‘peak width’). The seasonal variations of </w:t>
      </w:r>
      <w:r w:rsidR="00F2280C">
        <w:rPr>
          <w:rFonts w:ascii="Times New Roman" w:hAnsi="Times New Roman" w:cs="Times New Roman"/>
          <w:color w:val="000000"/>
          <w:sz w:val="20"/>
          <w:szCs w:val="20"/>
          <w:lang w:val="en-US" w:eastAsia="fr-FR"/>
        </w:rPr>
        <w:t xml:space="preserve">QI </w:t>
      </w:r>
      <w:r w:rsidRPr="00AA3528">
        <w:rPr>
          <w:rFonts w:ascii="Times New Roman" w:hAnsi="Times New Roman" w:cs="Times New Roman"/>
          <w:color w:val="000000"/>
          <w:sz w:val="20"/>
          <w:szCs w:val="20"/>
          <w:lang w:val="en-US" w:eastAsia="fr-FR"/>
        </w:rPr>
        <w:t xml:space="preserve">EF described in Staudt et al. (2002) were fitted on this algorithm. </w:t>
      </w:r>
      <w:r w:rsidR="00470EEA" w:rsidRPr="00470EEA">
        <w:rPr>
          <w:rFonts w:ascii="Times New Roman" w:hAnsi="Times New Roman" w:cs="Times New Roman"/>
          <w:color w:val="000000"/>
          <w:sz w:val="20"/>
          <w:szCs w:val="20"/>
          <w:lang w:val="en-US" w:eastAsia="fr-FR"/>
        </w:rPr>
        <w:t xml:space="preserve">In that study, emissions were measured on mature QI trees near the </w:t>
      </w:r>
      <w:r w:rsidR="00F2280C">
        <w:rPr>
          <w:rFonts w:ascii="Times New Roman" w:hAnsi="Times New Roman" w:cs="Times New Roman"/>
          <w:color w:val="000000"/>
          <w:sz w:val="20"/>
          <w:szCs w:val="20"/>
          <w:lang w:val="en-US" w:eastAsia="fr-FR"/>
        </w:rPr>
        <w:t>i</w:t>
      </w:r>
      <w:r w:rsidR="00470EEA" w:rsidRPr="00470EEA">
        <w:rPr>
          <w:rFonts w:ascii="Times New Roman" w:hAnsi="Times New Roman" w:cs="Times New Roman"/>
          <w:color w:val="000000"/>
          <w:sz w:val="20"/>
          <w:szCs w:val="20"/>
          <w:lang w:val="en-US" w:eastAsia="fr-FR"/>
        </w:rPr>
        <w:t>nstitute in two plots, one with trees exposed to summer drought and one with irrigated trees.</w:t>
      </w:r>
      <w:r w:rsidR="00470EEA">
        <w:rPr>
          <w:rFonts w:ascii="Times New Roman" w:hAnsi="Times New Roman" w:cs="Times New Roman"/>
          <w:color w:val="000000"/>
          <w:sz w:val="20"/>
          <w:szCs w:val="20"/>
          <w:lang w:val="en-US" w:eastAsia="fr-FR"/>
        </w:rPr>
        <w:t xml:space="preserve"> </w:t>
      </w:r>
      <w:r w:rsidRPr="00AA3528">
        <w:rPr>
          <w:rFonts w:ascii="Times New Roman" w:hAnsi="Times New Roman" w:cs="Times New Roman"/>
          <w:color w:val="000000"/>
          <w:sz w:val="20"/>
          <w:szCs w:val="20"/>
          <w:lang w:val="en-US" w:eastAsia="fr-FR"/>
        </w:rPr>
        <w:t xml:space="preserve">In addition to the EF variations deduced from these two plots, we run simulations without EF seasonality (constant EF throughout the year). The three EF seasonal courses applied in the simulations are shown in Fig. S9 below. </w:t>
      </w:r>
    </w:p>
    <w:p w14:paraId="7F6B578C" w14:textId="3C171E66" w:rsidR="00AA3528" w:rsidRPr="00AA3528" w:rsidRDefault="00AA3528" w:rsidP="00014C1A">
      <w:pPr>
        <w:spacing w:after="120"/>
        <w:jc w:val="both"/>
        <w:rPr>
          <w:rFonts w:ascii="Times New Roman" w:hAnsi="Times New Roman" w:cs="Times New Roman"/>
          <w:color w:val="000000"/>
          <w:sz w:val="20"/>
          <w:szCs w:val="20"/>
          <w:lang w:val="en-US" w:eastAsia="fr-FR"/>
        </w:rPr>
      </w:pPr>
      <w:r w:rsidRPr="00AA3528">
        <w:rPr>
          <w:rFonts w:ascii="Times New Roman" w:hAnsi="Times New Roman" w:cs="Times New Roman"/>
          <w:color w:val="000000"/>
          <w:sz w:val="20"/>
          <w:szCs w:val="20"/>
          <w:lang w:val="en-US" w:eastAsia="fr-FR"/>
        </w:rPr>
        <w:t xml:space="preserve">On the whole, 96 </w:t>
      </w:r>
      <w:r w:rsidR="00815D71">
        <w:rPr>
          <w:rFonts w:ascii="Times New Roman" w:hAnsi="Times New Roman" w:cs="Times New Roman"/>
          <w:color w:val="000000"/>
          <w:sz w:val="20"/>
          <w:szCs w:val="20"/>
          <w:lang w:val="en-US" w:eastAsia="fr-FR"/>
        </w:rPr>
        <w:t>scenario combinations</w:t>
      </w:r>
      <w:r w:rsidRPr="00AA3528">
        <w:rPr>
          <w:rFonts w:ascii="Times New Roman" w:hAnsi="Times New Roman" w:cs="Times New Roman"/>
          <w:color w:val="000000"/>
          <w:sz w:val="20"/>
          <w:szCs w:val="20"/>
          <w:lang w:val="en-US" w:eastAsia="fr-FR"/>
        </w:rPr>
        <w:t xml:space="preserve"> were run (4 warming x 8 maximum CO</w:t>
      </w:r>
      <w:r w:rsidRPr="00DA1985">
        <w:rPr>
          <w:rFonts w:ascii="Times New Roman" w:hAnsi="Times New Roman" w:cs="Times New Roman"/>
          <w:color w:val="000000"/>
          <w:sz w:val="20"/>
          <w:szCs w:val="20"/>
          <w:vertAlign w:val="subscript"/>
          <w:lang w:val="en-US" w:eastAsia="fr-FR"/>
        </w:rPr>
        <w:t>2</w:t>
      </w:r>
      <w:r w:rsidRPr="00AA3528">
        <w:rPr>
          <w:rFonts w:ascii="Times New Roman" w:hAnsi="Times New Roman" w:cs="Times New Roman"/>
          <w:color w:val="000000"/>
          <w:sz w:val="20"/>
          <w:szCs w:val="20"/>
          <w:lang w:val="en-US" w:eastAsia="fr-FR"/>
        </w:rPr>
        <w:t>-inhibition x 3 EF seasonality)</w:t>
      </w:r>
      <w:r w:rsidR="00815D71">
        <w:rPr>
          <w:rFonts w:ascii="Times New Roman" w:hAnsi="Times New Roman" w:cs="Times New Roman"/>
          <w:color w:val="000000"/>
          <w:sz w:val="20"/>
          <w:szCs w:val="20"/>
          <w:lang w:val="en-US" w:eastAsia="fr-FR"/>
        </w:rPr>
        <w:t>. For each scenario the outputs of three simulations were compared</w:t>
      </w:r>
      <w:r w:rsidR="00014C1A">
        <w:rPr>
          <w:rFonts w:ascii="Times New Roman" w:hAnsi="Times New Roman" w:cs="Times New Roman"/>
          <w:color w:val="000000"/>
          <w:sz w:val="20"/>
          <w:szCs w:val="20"/>
          <w:lang w:val="en-US" w:eastAsia="fr-FR"/>
        </w:rPr>
        <w:t xml:space="preserve"> to estimate the relative importance of high-CO2-inhibition</w:t>
      </w:r>
      <w:r w:rsidR="00815D71">
        <w:rPr>
          <w:rFonts w:ascii="Times New Roman" w:hAnsi="Times New Roman" w:cs="Times New Roman"/>
          <w:color w:val="000000"/>
          <w:sz w:val="20"/>
          <w:szCs w:val="20"/>
          <w:lang w:val="en-US" w:eastAsia="fr-FR"/>
        </w:rPr>
        <w:t xml:space="preserve">: </w:t>
      </w:r>
      <w:r w:rsidR="00014C1A">
        <w:rPr>
          <w:rFonts w:ascii="Times New Roman" w:hAnsi="Times New Roman" w:cs="Times New Roman"/>
          <w:color w:val="000000"/>
          <w:sz w:val="20"/>
          <w:szCs w:val="20"/>
          <w:lang w:val="en-US" w:eastAsia="fr-FR"/>
        </w:rPr>
        <w:t xml:space="preserve">warming with </w:t>
      </w:r>
      <w:r w:rsidR="00410285" w:rsidRPr="00AA3528">
        <w:rPr>
          <w:rFonts w:ascii="Times New Roman" w:hAnsi="Times New Roman" w:cs="Times New Roman"/>
          <w:color w:val="000000"/>
          <w:sz w:val="20"/>
          <w:szCs w:val="20"/>
          <w:lang w:val="en-US" w:eastAsia="fr-FR"/>
        </w:rPr>
        <w:t>CO</w:t>
      </w:r>
      <w:r w:rsidR="00410285" w:rsidRPr="00DA1985">
        <w:rPr>
          <w:rFonts w:ascii="Times New Roman" w:hAnsi="Times New Roman" w:cs="Times New Roman"/>
          <w:color w:val="000000"/>
          <w:sz w:val="20"/>
          <w:szCs w:val="20"/>
          <w:vertAlign w:val="subscript"/>
          <w:lang w:val="en-US" w:eastAsia="fr-FR"/>
        </w:rPr>
        <w:t>2</w:t>
      </w:r>
      <w:r w:rsidR="00014C1A">
        <w:rPr>
          <w:rFonts w:ascii="Times New Roman" w:hAnsi="Times New Roman" w:cs="Times New Roman"/>
          <w:color w:val="000000"/>
          <w:sz w:val="20"/>
          <w:szCs w:val="20"/>
          <w:lang w:val="en-US" w:eastAsia="fr-FR"/>
        </w:rPr>
        <w:t xml:space="preserve">-inhibition versus warming without </w:t>
      </w:r>
      <w:r w:rsidR="00410285" w:rsidRPr="00AA3528">
        <w:rPr>
          <w:rFonts w:ascii="Times New Roman" w:hAnsi="Times New Roman" w:cs="Times New Roman"/>
          <w:color w:val="000000"/>
          <w:sz w:val="20"/>
          <w:szCs w:val="20"/>
          <w:lang w:val="en-US" w:eastAsia="fr-FR"/>
        </w:rPr>
        <w:t>CO</w:t>
      </w:r>
      <w:r w:rsidR="00410285" w:rsidRPr="00DA1985">
        <w:rPr>
          <w:rFonts w:ascii="Times New Roman" w:hAnsi="Times New Roman" w:cs="Times New Roman"/>
          <w:color w:val="000000"/>
          <w:sz w:val="20"/>
          <w:szCs w:val="20"/>
          <w:vertAlign w:val="subscript"/>
          <w:lang w:val="en-US" w:eastAsia="fr-FR"/>
        </w:rPr>
        <w:t>2</w:t>
      </w:r>
      <w:r w:rsidR="00014C1A">
        <w:rPr>
          <w:rFonts w:ascii="Times New Roman" w:hAnsi="Times New Roman" w:cs="Times New Roman"/>
          <w:color w:val="000000"/>
          <w:sz w:val="20"/>
          <w:szCs w:val="20"/>
          <w:lang w:val="en-US" w:eastAsia="fr-FR"/>
        </w:rPr>
        <w:t xml:space="preserve">-inhibition versus </w:t>
      </w:r>
      <w:r w:rsidR="00815D71">
        <w:rPr>
          <w:rFonts w:ascii="Times New Roman" w:hAnsi="Times New Roman" w:cs="Times New Roman"/>
          <w:color w:val="000000"/>
          <w:sz w:val="20"/>
          <w:szCs w:val="20"/>
          <w:lang w:val="en-US" w:eastAsia="fr-FR"/>
        </w:rPr>
        <w:t xml:space="preserve">current climate </w:t>
      </w:r>
      <w:r w:rsidR="00014C1A">
        <w:rPr>
          <w:rFonts w:ascii="Times New Roman" w:hAnsi="Times New Roman" w:cs="Times New Roman"/>
          <w:color w:val="000000"/>
          <w:sz w:val="20"/>
          <w:szCs w:val="20"/>
          <w:lang w:val="en-US" w:eastAsia="fr-FR"/>
        </w:rPr>
        <w:t xml:space="preserve">(no warming and no </w:t>
      </w:r>
      <w:r w:rsidR="00410285" w:rsidRPr="00AA3528">
        <w:rPr>
          <w:rFonts w:ascii="Times New Roman" w:hAnsi="Times New Roman" w:cs="Times New Roman"/>
          <w:color w:val="000000"/>
          <w:sz w:val="20"/>
          <w:szCs w:val="20"/>
          <w:lang w:val="en-US" w:eastAsia="fr-FR"/>
        </w:rPr>
        <w:t>CO</w:t>
      </w:r>
      <w:r w:rsidR="00410285" w:rsidRPr="00DA1985">
        <w:rPr>
          <w:rFonts w:ascii="Times New Roman" w:hAnsi="Times New Roman" w:cs="Times New Roman"/>
          <w:color w:val="000000"/>
          <w:sz w:val="20"/>
          <w:szCs w:val="20"/>
          <w:vertAlign w:val="subscript"/>
          <w:lang w:val="en-US" w:eastAsia="fr-FR"/>
        </w:rPr>
        <w:t>2</w:t>
      </w:r>
      <w:r w:rsidR="00014C1A">
        <w:rPr>
          <w:rFonts w:ascii="Times New Roman" w:hAnsi="Times New Roman" w:cs="Times New Roman"/>
          <w:color w:val="000000"/>
          <w:sz w:val="20"/>
          <w:szCs w:val="20"/>
          <w:lang w:val="en-US" w:eastAsia="fr-FR"/>
        </w:rPr>
        <w:t xml:space="preserve">-inhibition). </w:t>
      </w:r>
      <w:r w:rsidR="00815D71">
        <w:rPr>
          <w:rFonts w:ascii="Times New Roman" w:hAnsi="Times New Roman" w:cs="Times New Roman"/>
          <w:color w:val="000000"/>
          <w:sz w:val="20"/>
          <w:szCs w:val="20"/>
          <w:lang w:val="en-US" w:eastAsia="fr-FR"/>
        </w:rPr>
        <w:t>The results</w:t>
      </w:r>
      <w:r w:rsidRPr="00AA3528">
        <w:rPr>
          <w:rFonts w:ascii="Times New Roman" w:hAnsi="Times New Roman" w:cs="Times New Roman"/>
          <w:color w:val="000000"/>
          <w:sz w:val="20"/>
          <w:szCs w:val="20"/>
          <w:lang w:val="en-US" w:eastAsia="fr-FR"/>
        </w:rPr>
        <w:t xml:space="preserve"> are summarized in Table S5 below (see also Fig. 5 in </w:t>
      </w:r>
      <w:r w:rsidR="00F2280C">
        <w:rPr>
          <w:rFonts w:ascii="Times New Roman" w:hAnsi="Times New Roman" w:cs="Times New Roman"/>
          <w:color w:val="000000"/>
          <w:sz w:val="20"/>
          <w:szCs w:val="20"/>
          <w:lang w:val="en-US" w:eastAsia="fr-FR"/>
        </w:rPr>
        <w:t xml:space="preserve">the </w:t>
      </w:r>
      <w:r w:rsidRPr="00AA3528">
        <w:rPr>
          <w:rFonts w:ascii="Times New Roman" w:hAnsi="Times New Roman" w:cs="Times New Roman"/>
          <w:color w:val="000000"/>
          <w:sz w:val="20"/>
          <w:szCs w:val="20"/>
          <w:lang w:val="en-US" w:eastAsia="fr-FR"/>
        </w:rPr>
        <w:t xml:space="preserve">main text). Fig. S10 </w:t>
      </w:r>
      <w:r w:rsidR="00F2280C">
        <w:rPr>
          <w:rFonts w:ascii="Times New Roman" w:hAnsi="Times New Roman" w:cs="Times New Roman"/>
          <w:color w:val="000000"/>
          <w:sz w:val="20"/>
          <w:szCs w:val="20"/>
          <w:lang w:val="en-US" w:eastAsia="fr-FR"/>
        </w:rPr>
        <w:t xml:space="preserve">(below) </w:t>
      </w:r>
      <w:r w:rsidRPr="00AA3528">
        <w:rPr>
          <w:rFonts w:ascii="Times New Roman" w:hAnsi="Times New Roman" w:cs="Times New Roman"/>
          <w:color w:val="000000"/>
          <w:sz w:val="20"/>
          <w:szCs w:val="20"/>
          <w:lang w:val="en-US" w:eastAsia="fr-FR"/>
        </w:rPr>
        <w:t>shows an example of the diurnal and annual emission courses resulting from a simulation (scenario</w:t>
      </w:r>
      <w:r w:rsidR="00F2280C">
        <w:rPr>
          <w:rFonts w:ascii="Times New Roman" w:hAnsi="Times New Roman" w:cs="Times New Roman"/>
          <w:color w:val="000000"/>
          <w:sz w:val="20"/>
          <w:szCs w:val="20"/>
          <w:lang w:val="en-US" w:eastAsia="fr-FR"/>
        </w:rPr>
        <w:t>:</w:t>
      </w:r>
      <w:r w:rsidRPr="00AA3528">
        <w:rPr>
          <w:rFonts w:ascii="Times New Roman" w:hAnsi="Times New Roman" w:cs="Times New Roman"/>
          <w:color w:val="000000"/>
          <w:sz w:val="20"/>
          <w:szCs w:val="20"/>
          <w:lang w:val="en-US" w:eastAsia="fr-FR"/>
        </w:rPr>
        <w:t xml:space="preserve"> 3°C-warming x 25% maximum CO</w:t>
      </w:r>
      <w:r w:rsidRPr="00DA1985">
        <w:rPr>
          <w:rFonts w:ascii="Times New Roman" w:hAnsi="Times New Roman" w:cs="Times New Roman"/>
          <w:color w:val="000000"/>
          <w:sz w:val="20"/>
          <w:szCs w:val="20"/>
          <w:vertAlign w:val="subscript"/>
          <w:lang w:val="en-US" w:eastAsia="fr-FR"/>
        </w:rPr>
        <w:t>2</w:t>
      </w:r>
      <w:r w:rsidRPr="00AA3528">
        <w:rPr>
          <w:rFonts w:ascii="Times New Roman" w:hAnsi="Times New Roman" w:cs="Times New Roman"/>
          <w:color w:val="000000"/>
          <w:sz w:val="20"/>
          <w:szCs w:val="20"/>
          <w:lang w:val="en-US" w:eastAsia="fr-FR"/>
        </w:rPr>
        <w:t>-inhibition x EF seasonality without drought stress).</w:t>
      </w:r>
    </w:p>
    <w:p w14:paraId="2AADDA3F" w14:textId="38FD0402" w:rsidR="0010438C" w:rsidRDefault="0010438C">
      <w:pPr>
        <w:rPr>
          <w:rFonts w:ascii="Times New Roman" w:hAnsi="Times New Roman" w:cs="Times New Roman"/>
          <w:sz w:val="20"/>
          <w:szCs w:val="20"/>
          <w:lang w:val="en-US"/>
        </w:rPr>
      </w:pPr>
    </w:p>
    <w:p w14:paraId="7A137237" w14:textId="17504FC0" w:rsidR="0010438C" w:rsidRDefault="00A11FA5">
      <w:pPr>
        <w:rPr>
          <w:rFonts w:ascii="Times New Roman" w:hAnsi="Times New Roman" w:cs="Times New Roman"/>
          <w:sz w:val="20"/>
          <w:szCs w:val="20"/>
          <w:lang w:val="en-US"/>
        </w:rPr>
      </w:pPr>
      <w:r>
        <w:rPr>
          <w:rFonts w:ascii="Times New Roman" w:hAnsi="Times New Roman" w:cs="Times New Roman"/>
          <w:noProof/>
          <w:sz w:val="20"/>
          <w:szCs w:val="20"/>
          <w:lang w:eastAsia="fr-FR"/>
        </w:rPr>
        <w:lastRenderedPageBreak/>
        <w:drawing>
          <wp:inline distT="0" distB="0" distL="0" distR="0" wp14:anchorId="7F03EE7C" wp14:editId="59DCB125">
            <wp:extent cx="5112000" cy="3127952"/>
            <wp:effectExtent l="0" t="0" r="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132697" cy="3140616"/>
                    </a:xfrm>
                    <a:prstGeom prst="rect">
                      <a:avLst/>
                    </a:prstGeom>
                    <a:noFill/>
                  </pic:spPr>
                </pic:pic>
              </a:graphicData>
            </a:graphic>
          </wp:inline>
        </w:drawing>
      </w:r>
    </w:p>
    <w:p w14:paraId="67D7E8BF" w14:textId="76E02D2B" w:rsidR="00A064AB" w:rsidRPr="00A11FA5" w:rsidRDefault="00A064AB" w:rsidP="00167735">
      <w:pPr>
        <w:jc w:val="both"/>
        <w:rPr>
          <w:rFonts w:ascii="Times New Roman" w:hAnsi="Times New Roman" w:cs="Times New Roman"/>
          <w:sz w:val="20"/>
          <w:szCs w:val="20"/>
          <w:lang w:val="en-US"/>
        </w:rPr>
      </w:pPr>
      <w:r w:rsidRPr="00014C1A">
        <w:rPr>
          <w:rFonts w:ascii="Times New Roman" w:hAnsi="Times New Roman" w:cs="Times New Roman"/>
          <w:b/>
          <w:color w:val="000000"/>
          <w:sz w:val="20"/>
          <w:szCs w:val="20"/>
          <w:lang w:val="en-US" w:eastAsia="fr-FR"/>
        </w:rPr>
        <w:t>Fig</w:t>
      </w:r>
      <w:r w:rsidR="006E5120">
        <w:rPr>
          <w:rFonts w:ascii="Times New Roman" w:hAnsi="Times New Roman" w:cs="Times New Roman"/>
          <w:b/>
          <w:color w:val="000000"/>
          <w:sz w:val="20"/>
          <w:szCs w:val="20"/>
          <w:lang w:val="en-US" w:eastAsia="fr-FR"/>
        </w:rPr>
        <w:t>ure</w:t>
      </w:r>
      <w:r w:rsidRPr="00014C1A">
        <w:rPr>
          <w:rFonts w:ascii="Times New Roman" w:hAnsi="Times New Roman" w:cs="Times New Roman"/>
          <w:b/>
          <w:color w:val="000000"/>
          <w:sz w:val="20"/>
          <w:szCs w:val="20"/>
          <w:lang w:val="en-US" w:eastAsia="fr-FR"/>
        </w:rPr>
        <w:t xml:space="preserve"> S9.</w:t>
      </w:r>
      <w:r w:rsidRPr="00A11FA5">
        <w:rPr>
          <w:rFonts w:ascii="Times New Roman" w:hAnsi="Times New Roman" w:cs="Times New Roman"/>
          <w:color w:val="000000"/>
          <w:sz w:val="20"/>
          <w:szCs w:val="20"/>
          <w:lang w:val="en-US" w:eastAsia="fr-FR"/>
        </w:rPr>
        <w:t xml:space="preserve"> Seasonal variations of the emission factor </w:t>
      </w:r>
      <w:r w:rsidR="00167735">
        <w:rPr>
          <w:rFonts w:ascii="Times New Roman" w:hAnsi="Times New Roman" w:cs="Times New Roman"/>
          <w:color w:val="000000"/>
          <w:sz w:val="20"/>
          <w:szCs w:val="20"/>
          <w:lang w:val="en-US" w:eastAsia="fr-FR"/>
        </w:rPr>
        <w:t xml:space="preserve">(EF) </w:t>
      </w:r>
      <w:r w:rsidRPr="00A11FA5">
        <w:rPr>
          <w:rFonts w:ascii="Times New Roman" w:hAnsi="Times New Roman" w:cs="Times New Roman"/>
          <w:color w:val="000000"/>
          <w:sz w:val="20"/>
          <w:szCs w:val="20"/>
          <w:lang w:val="en-US" w:eastAsia="fr-FR"/>
        </w:rPr>
        <w:t xml:space="preserve">of </w:t>
      </w:r>
      <w:proofErr w:type="spellStart"/>
      <w:r w:rsidRPr="00A11FA5">
        <w:rPr>
          <w:rFonts w:ascii="Times New Roman" w:hAnsi="Times New Roman" w:cs="Times New Roman"/>
          <w:i/>
          <w:color w:val="000000"/>
          <w:sz w:val="20"/>
          <w:szCs w:val="20"/>
          <w:lang w:val="en-US" w:eastAsia="fr-FR"/>
        </w:rPr>
        <w:t>Quercus</w:t>
      </w:r>
      <w:proofErr w:type="spellEnd"/>
      <w:r w:rsidRPr="00A11FA5">
        <w:rPr>
          <w:rFonts w:ascii="Times New Roman" w:hAnsi="Times New Roman" w:cs="Times New Roman"/>
          <w:i/>
          <w:color w:val="000000"/>
          <w:sz w:val="20"/>
          <w:szCs w:val="20"/>
          <w:lang w:val="en-US" w:eastAsia="fr-FR"/>
        </w:rPr>
        <w:t xml:space="preserve"> ilex</w:t>
      </w:r>
      <w:r w:rsidRPr="00A11FA5">
        <w:rPr>
          <w:rFonts w:ascii="Times New Roman" w:hAnsi="Times New Roman" w:cs="Times New Roman"/>
          <w:color w:val="000000"/>
          <w:sz w:val="20"/>
          <w:szCs w:val="20"/>
          <w:lang w:val="en-US" w:eastAsia="fr-FR"/>
        </w:rPr>
        <w:t xml:space="preserve"> leaves assumed in the simulations. </w:t>
      </w:r>
      <w:r w:rsidR="00E7180F">
        <w:rPr>
          <w:rFonts w:ascii="Times New Roman" w:hAnsi="Times New Roman" w:cs="Times New Roman"/>
          <w:color w:val="000000"/>
          <w:sz w:val="20"/>
          <w:szCs w:val="20"/>
          <w:lang w:val="en-US" w:eastAsia="fr-FR"/>
        </w:rPr>
        <w:t>Dark b</w:t>
      </w:r>
      <w:r w:rsidR="00A11FA5" w:rsidRPr="00A11FA5">
        <w:rPr>
          <w:rFonts w:ascii="Times New Roman" w:hAnsi="Times New Roman" w:cs="Times New Roman"/>
          <w:sz w:val="20"/>
          <w:szCs w:val="20"/>
          <w:lang w:val="en-US"/>
        </w:rPr>
        <w:t>lue and red lines assume an EF seasonality without and with summer drought as observed in Staudt et al. (2002). The grey</w:t>
      </w:r>
      <w:r w:rsidR="00A11FA5">
        <w:rPr>
          <w:rFonts w:ascii="Times New Roman" w:hAnsi="Times New Roman" w:cs="Times New Roman"/>
          <w:sz w:val="20"/>
          <w:szCs w:val="20"/>
          <w:lang w:val="en-US"/>
        </w:rPr>
        <w:t xml:space="preserve"> dotted line assumes</w:t>
      </w:r>
      <w:r w:rsidR="00A11FA5" w:rsidRPr="00A11FA5">
        <w:rPr>
          <w:rFonts w:ascii="Times New Roman" w:hAnsi="Times New Roman" w:cs="Times New Roman"/>
          <w:sz w:val="20"/>
          <w:szCs w:val="20"/>
          <w:lang w:val="en-US"/>
        </w:rPr>
        <w:t xml:space="preserve"> </w:t>
      </w:r>
      <w:r w:rsidR="00A11FA5">
        <w:rPr>
          <w:rFonts w:ascii="Times New Roman" w:hAnsi="Times New Roman" w:cs="Times New Roman"/>
          <w:sz w:val="20"/>
          <w:szCs w:val="20"/>
          <w:lang w:val="en-US"/>
        </w:rPr>
        <w:t>that EF is constant throughout the year (</w:t>
      </w:r>
      <w:r w:rsidR="00A11FA5" w:rsidRPr="00A11FA5">
        <w:rPr>
          <w:rFonts w:ascii="Times New Roman" w:hAnsi="Times New Roman" w:cs="Times New Roman"/>
          <w:sz w:val="20"/>
          <w:szCs w:val="20"/>
          <w:lang w:val="en-US"/>
        </w:rPr>
        <w:t>no seasonality</w:t>
      </w:r>
      <w:r w:rsidR="00A11FA5">
        <w:rPr>
          <w:rFonts w:ascii="Times New Roman" w:hAnsi="Times New Roman" w:cs="Times New Roman"/>
          <w:sz w:val="20"/>
          <w:szCs w:val="20"/>
          <w:lang w:val="en-US"/>
        </w:rPr>
        <w:t>)</w:t>
      </w:r>
      <w:r w:rsidR="00A11FA5" w:rsidRPr="00A11FA5">
        <w:rPr>
          <w:rFonts w:ascii="Times New Roman" w:hAnsi="Times New Roman" w:cs="Times New Roman"/>
          <w:sz w:val="20"/>
          <w:szCs w:val="20"/>
          <w:lang w:val="en-US"/>
        </w:rPr>
        <w:t>.</w:t>
      </w:r>
      <w:r w:rsidR="00A11FA5">
        <w:rPr>
          <w:rFonts w:ascii="Times New Roman" w:hAnsi="Times New Roman" w:cs="Times New Roman"/>
          <w:sz w:val="20"/>
          <w:szCs w:val="20"/>
          <w:lang w:val="en-US"/>
        </w:rPr>
        <w:t xml:space="preserve"> </w:t>
      </w:r>
      <w:r w:rsidR="00AE6036">
        <w:rPr>
          <w:rFonts w:ascii="Times New Roman" w:hAnsi="Times New Roman" w:cs="Times New Roman"/>
          <w:sz w:val="20"/>
          <w:szCs w:val="20"/>
          <w:lang w:val="en-US"/>
        </w:rPr>
        <w:t xml:space="preserve">The algorithm used to calculate EF seasonality is described above. </w:t>
      </w:r>
    </w:p>
    <w:p w14:paraId="3EC1D604" w14:textId="77777777" w:rsidR="0010438C" w:rsidRDefault="0010438C">
      <w:pPr>
        <w:rPr>
          <w:rFonts w:ascii="Times New Roman" w:hAnsi="Times New Roman" w:cs="Times New Roman"/>
          <w:sz w:val="20"/>
          <w:szCs w:val="20"/>
          <w:lang w:val="en-US"/>
        </w:rPr>
      </w:pPr>
    </w:p>
    <w:p w14:paraId="7F4D018C" w14:textId="6A9A5BD4" w:rsidR="00423070" w:rsidRDefault="00423070">
      <w:pPr>
        <w:rPr>
          <w:rFonts w:ascii="Times New Roman" w:hAnsi="Times New Roman" w:cs="Times New Roman"/>
          <w:sz w:val="20"/>
          <w:szCs w:val="20"/>
          <w:lang w:val="en-US"/>
        </w:rPr>
      </w:pPr>
      <w:r>
        <w:rPr>
          <w:rFonts w:ascii="Times New Roman" w:hAnsi="Times New Roman" w:cs="Times New Roman"/>
          <w:sz w:val="20"/>
          <w:szCs w:val="20"/>
          <w:lang w:val="en-US"/>
        </w:rPr>
        <w:br w:type="page"/>
      </w:r>
    </w:p>
    <w:p w14:paraId="23375FF3" w14:textId="77777777" w:rsidR="00423070" w:rsidRDefault="00423070" w:rsidP="00AA0949">
      <w:pPr>
        <w:spacing w:after="0"/>
        <w:ind w:left="851"/>
        <w:jc w:val="both"/>
        <w:rPr>
          <w:rFonts w:ascii="Times New Roman" w:hAnsi="Times New Roman" w:cs="Times New Roman"/>
          <w:b/>
          <w:sz w:val="18"/>
          <w:szCs w:val="18"/>
          <w:lang w:val="en-GB"/>
        </w:rPr>
        <w:sectPr w:rsidR="00423070" w:rsidSect="00AA3528">
          <w:headerReference w:type="even" r:id="rId11"/>
          <w:headerReference w:type="default" r:id="rId12"/>
          <w:footerReference w:type="even" r:id="rId13"/>
          <w:footerReference w:type="default" r:id="rId14"/>
          <w:headerReference w:type="first" r:id="rId15"/>
          <w:footerReference w:type="first" r:id="rId16"/>
          <w:pgSz w:w="11907" w:h="16840" w:code="9"/>
          <w:pgMar w:top="1361" w:right="1361" w:bottom="1361" w:left="1361" w:header="709" w:footer="709" w:gutter="0"/>
          <w:cols w:space="708"/>
          <w:docGrid w:linePitch="360"/>
        </w:sectPr>
      </w:pPr>
    </w:p>
    <w:p w14:paraId="45B31EAF" w14:textId="5DF6036C" w:rsidR="002F7A13" w:rsidRDefault="00AA0949" w:rsidP="00423070">
      <w:pPr>
        <w:spacing w:after="0"/>
        <w:jc w:val="both"/>
        <w:rPr>
          <w:rFonts w:ascii="Times New Roman" w:hAnsi="Times New Roman" w:cs="Times New Roman"/>
          <w:sz w:val="18"/>
          <w:szCs w:val="18"/>
          <w:lang w:val="en-US"/>
        </w:rPr>
      </w:pPr>
      <w:r w:rsidRPr="00483285">
        <w:rPr>
          <w:rFonts w:ascii="Times New Roman" w:hAnsi="Times New Roman" w:cs="Times New Roman"/>
          <w:b/>
          <w:sz w:val="18"/>
          <w:szCs w:val="18"/>
          <w:lang w:val="en-GB"/>
        </w:rPr>
        <w:lastRenderedPageBreak/>
        <w:t>Table S</w:t>
      </w:r>
      <w:r>
        <w:rPr>
          <w:rFonts w:ascii="Times New Roman" w:hAnsi="Times New Roman" w:cs="Times New Roman"/>
          <w:b/>
          <w:sz w:val="18"/>
          <w:szCs w:val="18"/>
          <w:lang w:val="en-GB"/>
        </w:rPr>
        <w:t>5</w:t>
      </w:r>
      <w:r w:rsidRPr="00483285">
        <w:rPr>
          <w:rFonts w:ascii="Times New Roman" w:hAnsi="Times New Roman" w:cs="Times New Roman"/>
          <w:b/>
          <w:sz w:val="18"/>
          <w:szCs w:val="18"/>
          <w:lang w:val="en-GB"/>
        </w:rPr>
        <w:t>.</w:t>
      </w:r>
      <w:r w:rsidRPr="00483285">
        <w:rPr>
          <w:rFonts w:ascii="Times New Roman" w:hAnsi="Times New Roman" w:cs="Times New Roman"/>
          <w:sz w:val="18"/>
          <w:szCs w:val="18"/>
          <w:lang w:val="en-GB"/>
        </w:rPr>
        <w:t xml:space="preserve"> </w:t>
      </w:r>
      <w:r w:rsidRPr="00AA0949">
        <w:rPr>
          <w:rFonts w:ascii="Times New Roman" w:hAnsi="Times New Roman" w:cs="Times New Roman"/>
          <w:sz w:val="18"/>
          <w:szCs w:val="18"/>
          <w:lang w:val="en-US"/>
        </w:rPr>
        <w:t>Assessment of the potential effect of high-CO</w:t>
      </w:r>
      <w:r w:rsidRPr="00AA0949">
        <w:rPr>
          <w:rFonts w:ascii="Times New Roman" w:hAnsi="Times New Roman" w:cs="Times New Roman"/>
          <w:sz w:val="18"/>
          <w:szCs w:val="18"/>
          <w:vertAlign w:val="subscript"/>
          <w:lang w:val="en-US"/>
        </w:rPr>
        <w:t>2</w:t>
      </w:r>
      <w:r w:rsidRPr="00AA0949">
        <w:rPr>
          <w:rFonts w:ascii="Times New Roman" w:hAnsi="Times New Roman" w:cs="Times New Roman"/>
          <w:sz w:val="18"/>
          <w:szCs w:val="18"/>
          <w:lang w:val="en-US"/>
        </w:rPr>
        <w:t>-inhibition on total annual monoterpene emission from QI leaves under a future warmer climate with double [CO</w:t>
      </w:r>
      <w:r w:rsidRPr="00AA0949">
        <w:rPr>
          <w:rFonts w:ascii="Times New Roman" w:hAnsi="Times New Roman" w:cs="Times New Roman"/>
          <w:sz w:val="18"/>
          <w:szCs w:val="18"/>
          <w:vertAlign w:val="subscript"/>
          <w:lang w:val="en-US"/>
        </w:rPr>
        <w:t>2</w:t>
      </w:r>
      <w:r w:rsidRPr="00AA0949">
        <w:rPr>
          <w:rFonts w:ascii="Times New Roman" w:hAnsi="Times New Roman" w:cs="Times New Roman"/>
          <w:sz w:val="18"/>
          <w:szCs w:val="18"/>
          <w:lang w:val="en-US"/>
        </w:rPr>
        <w:t>] combining different warming, high-CO</w:t>
      </w:r>
      <w:r w:rsidRPr="00AA0949">
        <w:rPr>
          <w:rFonts w:ascii="Times New Roman" w:hAnsi="Times New Roman" w:cs="Times New Roman"/>
          <w:sz w:val="18"/>
          <w:szCs w:val="18"/>
          <w:vertAlign w:val="subscript"/>
          <w:lang w:val="en-US"/>
        </w:rPr>
        <w:t>2</w:t>
      </w:r>
      <w:r w:rsidRPr="00AA0949">
        <w:rPr>
          <w:rFonts w:ascii="Times New Roman" w:hAnsi="Times New Roman" w:cs="Times New Roman"/>
          <w:sz w:val="18"/>
          <w:szCs w:val="18"/>
          <w:lang w:val="en-US"/>
        </w:rPr>
        <w:t>-inhibition and emission seasonality scenarios</w:t>
      </w:r>
      <w:r w:rsidR="00486E38">
        <w:rPr>
          <w:rFonts w:ascii="Times New Roman" w:hAnsi="Times New Roman" w:cs="Times New Roman"/>
          <w:sz w:val="18"/>
          <w:szCs w:val="18"/>
          <w:lang w:val="en-US"/>
        </w:rPr>
        <w:t xml:space="preserve"> (for details see  above</w:t>
      </w:r>
      <w:r w:rsidR="00410285">
        <w:rPr>
          <w:rFonts w:ascii="Times New Roman" w:hAnsi="Times New Roman" w:cs="Times New Roman"/>
          <w:sz w:val="18"/>
          <w:szCs w:val="18"/>
          <w:lang w:val="en-US"/>
        </w:rPr>
        <w:t>)</w:t>
      </w:r>
      <w:r w:rsidRPr="00AA0949">
        <w:rPr>
          <w:rFonts w:ascii="Times New Roman" w:hAnsi="Times New Roman" w:cs="Times New Roman"/>
          <w:sz w:val="18"/>
          <w:szCs w:val="18"/>
          <w:lang w:val="en-US"/>
        </w:rPr>
        <w:t xml:space="preserve">. </w:t>
      </w:r>
      <w:r w:rsidR="002F7A13" w:rsidRPr="00AA0949">
        <w:rPr>
          <w:rFonts w:ascii="Times New Roman" w:hAnsi="Times New Roman" w:cs="Times New Roman"/>
          <w:sz w:val="18"/>
          <w:szCs w:val="18"/>
          <w:lang w:val="en-US"/>
        </w:rPr>
        <w:t xml:space="preserve">Simulations were made using the temperature and PPFD values (30-min values) recorded at the forest station of </w:t>
      </w:r>
      <w:proofErr w:type="spellStart"/>
      <w:r w:rsidR="002F7A13" w:rsidRPr="00AA0949">
        <w:rPr>
          <w:rFonts w:ascii="Times New Roman" w:hAnsi="Times New Roman" w:cs="Times New Roman"/>
          <w:sz w:val="18"/>
          <w:szCs w:val="18"/>
          <w:lang w:val="en-US"/>
        </w:rPr>
        <w:t>Puechabon</w:t>
      </w:r>
      <w:proofErr w:type="spellEnd"/>
      <w:r w:rsidR="002F7A13" w:rsidRPr="00AA0949">
        <w:rPr>
          <w:rFonts w:ascii="Times New Roman" w:hAnsi="Times New Roman" w:cs="Times New Roman"/>
          <w:sz w:val="18"/>
          <w:szCs w:val="18"/>
          <w:lang w:val="en-US"/>
        </w:rPr>
        <w:t xml:space="preserve"> during the years 2019, 2020 and 2021 (annual mean temperatures: 14.7, 14.8 and 14.0 °C)</w:t>
      </w:r>
      <w:r w:rsidR="002F7A13">
        <w:rPr>
          <w:rFonts w:ascii="Times New Roman" w:hAnsi="Times New Roman" w:cs="Times New Roman"/>
          <w:sz w:val="18"/>
          <w:szCs w:val="18"/>
          <w:lang w:val="en-US"/>
        </w:rPr>
        <w:t xml:space="preserve">. </w:t>
      </w:r>
      <w:r w:rsidRPr="00AA0949">
        <w:rPr>
          <w:rFonts w:ascii="Times New Roman" w:hAnsi="Times New Roman" w:cs="Times New Roman"/>
          <w:sz w:val="18"/>
          <w:szCs w:val="18"/>
          <w:lang w:val="en-US"/>
        </w:rPr>
        <w:t>Numbers in the table present the ranges of the three years. %Total-Increase is the percentage increase of the total annual emission under future climate relative to the actual climate including both temperature enhancement and high-CO</w:t>
      </w:r>
      <w:r w:rsidRPr="00AA0949">
        <w:rPr>
          <w:rFonts w:ascii="Times New Roman" w:hAnsi="Times New Roman" w:cs="Times New Roman"/>
          <w:sz w:val="18"/>
          <w:szCs w:val="18"/>
          <w:vertAlign w:val="subscript"/>
          <w:lang w:val="en-US"/>
        </w:rPr>
        <w:t>2</w:t>
      </w:r>
      <w:r w:rsidRPr="00AA0949">
        <w:rPr>
          <w:rFonts w:ascii="Times New Roman" w:hAnsi="Times New Roman" w:cs="Times New Roman"/>
          <w:sz w:val="18"/>
          <w:szCs w:val="18"/>
          <w:lang w:val="en-US"/>
        </w:rPr>
        <w:t>-inhibition of emissions. %CO</w:t>
      </w:r>
      <w:r w:rsidRPr="00AA0949">
        <w:rPr>
          <w:rFonts w:ascii="Times New Roman" w:hAnsi="Times New Roman" w:cs="Times New Roman"/>
          <w:sz w:val="18"/>
          <w:szCs w:val="18"/>
          <w:vertAlign w:val="subscript"/>
          <w:lang w:val="en-US"/>
        </w:rPr>
        <w:t>2</w:t>
      </w:r>
      <w:r w:rsidRPr="00AA0949">
        <w:rPr>
          <w:rFonts w:ascii="Times New Roman" w:hAnsi="Times New Roman" w:cs="Times New Roman"/>
          <w:sz w:val="18"/>
          <w:szCs w:val="18"/>
          <w:lang w:val="en-US"/>
        </w:rPr>
        <w:t>-Inhibition reports the percentage overestimation of emission when high-CO</w:t>
      </w:r>
      <w:r w:rsidRPr="00AA0949">
        <w:rPr>
          <w:rFonts w:ascii="Times New Roman" w:hAnsi="Times New Roman" w:cs="Times New Roman"/>
          <w:sz w:val="18"/>
          <w:szCs w:val="18"/>
          <w:vertAlign w:val="subscript"/>
          <w:lang w:val="en-US"/>
        </w:rPr>
        <w:t>2</w:t>
      </w:r>
      <w:r w:rsidRPr="00AA0949">
        <w:rPr>
          <w:rFonts w:ascii="Times New Roman" w:hAnsi="Times New Roman" w:cs="Times New Roman"/>
          <w:sz w:val="18"/>
          <w:szCs w:val="18"/>
          <w:lang w:val="en-US"/>
        </w:rPr>
        <w:t>-inhibition is ignored in the simulations. Colors denote simulations based on different seasonal variations of the emission factor: blue/</w:t>
      </w:r>
      <w:r w:rsidR="002F7A13">
        <w:rPr>
          <w:rFonts w:ascii="Times New Roman" w:hAnsi="Times New Roman" w:cs="Times New Roman"/>
          <w:sz w:val="18"/>
          <w:szCs w:val="18"/>
          <w:lang w:val="en-US"/>
        </w:rPr>
        <w:t>red</w:t>
      </w:r>
      <w:r w:rsidRPr="00AA0949">
        <w:rPr>
          <w:rFonts w:ascii="Times New Roman" w:hAnsi="Times New Roman" w:cs="Times New Roman"/>
          <w:sz w:val="18"/>
          <w:szCs w:val="18"/>
          <w:lang w:val="en-US"/>
        </w:rPr>
        <w:t xml:space="preserve">: seasonality without/with summer drought; grey: no seasonality at all (constant mean EF). </w:t>
      </w:r>
    </w:p>
    <w:p w14:paraId="0473954D" w14:textId="79477727" w:rsidR="008A19C5" w:rsidRDefault="00AA0949" w:rsidP="00423070">
      <w:pPr>
        <w:spacing w:after="0"/>
        <w:jc w:val="both"/>
        <w:rPr>
          <w:rFonts w:ascii="Times New Roman" w:hAnsi="Times New Roman" w:cs="Times New Roman"/>
          <w:sz w:val="18"/>
          <w:szCs w:val="18"/>
          <w:lang w:val="en-US"/>
        </w:rPr>
      </w:pPr>
      <w:r w:rsidRPr="00AA0949">
        <w:rPr>
          <w:rFonts w:ascii="Times New Roman" w:hAnsi="Times New Roman" w:cs="Times New Roman"/>
          <w:sz w:val="18"/>
          <w:szCs w:val="18"/>
          <w:lang w:val="en-US"/>
        </w:rPr>
        <w:t xml:space="preserve">The short-term </w:t>
      </w:r>
      <w:r w:rsidR="008A19C5" w:rsidRPr="00AA0949">
        <w:rPr>
          <w:rFonts w:ascii="Times New Roman" w:hAnsi="Times New Roman" w:cs="Times New Roman"/>
          <w:sz w:val="18"/>
          <w:szCs w:val="18"/>
          <w:lang w:val="en-US"/>
        </w:rPr>
        <w:t xml:space="preserve">effects of temperature and PPFD on emissions were computed using the algorithm and coefficients described in Staudt and Bertin (1998). See Fig. S7 </w:t>
      </w:r>
      <w:r w:rsidR="008A19C5">
        <w:rPr>
          <w:rFonts w:ascii="Times New Roman" w:hAnsi="Times New Roman" w:cs="Times New Roman"/>
          <w:sz w:val="18"/>
          <w:szCs w:val="18"/>
          <w:lang w:val="en-US"/>
        </w:rPr>
        <w:t>below</w:t>
      </w:r>
      <w:r w:rsidR="008A19C5" w:rsidRPr="00AA0949">
        <w:rPr>
          <w:rFonts w:ascii="Times New Roman" w:hAnsi="Times New Roman" w:cs="Times New Roman"/>
          <w:sz w:val="18"/>
          <w:szCs w:val="18"/>
          <w:lang w:val="en-US"/>
        </w:rPr>
        <w:t xml:space="preserve"> for examples of diurnal and annual emission evolution, and assumed EF seasonality.</w:t>
      </w:r>
    </w:p>
    <w:p w14:paraId="6A42B5F5" w14:textId="76D2A3BF" w:rsidR="00423070" w:rsidRDefault="002F7A13" w:rsidP="00423070">
      <w:pPr>
        <w:spacing w:after="0"/>
        <w:jc w:val="both"/>
        <w:rPr>
          <w:rFonts w:ascii="Times New Roman" w:hAnsi="Times New Roman" w:cs="Times New Roman"/>
          <w:sz w:val="18"/>
          <w:szCs w:val="18"/>
          <w:lang w:val="en-US"/>
        </w:rPr>
      </w:pPr>
      <w:r w:rsidRPr="00AA0949">
        <w:rPr>
          <w:rFonts w:ascii="Times New Roman" w:hAnsi="Times New Roman" w:cs="Times New Roman"/>
          <w:sz w:val="18"/>
          <w:szCs w:val="18"/>
          <w:lang w:val="en-US"/>
        </w:rPr>
        <w:t>To account for the high-CO</w:t>
      </w:r>
      <w:r w:rsidRPr="00AA0949">
        <w:rPr>
          <w:rFonts w:ascii="Times New Roman" w:hAnsi="Times New Roman" w:cs="Times New Roman"/>
          <w:sz w:val="18"/>
          <w:szCs w:val="18"/>
          <w:vertAlign w:val="subscript"/>
          <w:lang w:val="en-US"/>
        </w:rPr>
        <w:t>2</w:t>
      </w:r>
      <w:r w:rsidRPr="00AA0949">
        <w:rPr>
          <w:rFonts w:ascii="Times New Roman" w:hAnsi="Times New Roman" w:cs="Times New Roman"/>
          <w:sz w:val="18"/>
          <w:szCs w:val="18"/>
          <w:lang w:val="en-US"/>
        </w:rPr>
        <w:t>-inhibition of emissions at double CO</w:t>
      </w:r>
      <w:r w:rsidRPr="00AA0949">
        <w:rPr>
          <w:rFonts w:ascii="Times New Roman" w:hAnsi="Times New Roman" w:cs="Times New Roman"/>
          <w:sz w:val="18"/>
          <w:szCs w:val="18"/>
          <w:vertAlign w:val="subscript"/>
          <w:lang w:val="en-US"/>
        </w:rPr>
        <w:t>2</w:t>
      </w:r>
      <w:r w:rsidRPr="00AA0949">
        <w:rPr>
          <w:rFonts w:ascii="Times New Roman" w:hAnsi="Times New Roman" w:cs="Times New Roman"/>
          <w:sz w:val="18"/>
          <w:szCs w:val="18"/>
          <w:lang w:val="en-US"/>
        </w:rPr>
        <w:t>, we assumed that inhibition is 0</w:t>
      </w:r>
      <w:r>
        <w:rPr>
          <w:rFonts w:ascii="Times New Roman" w:hAnsi="Times New Roman" w:cs="Times New Roman"/>
          <w:sz w:val="18"/>
          <w:szCs w:val="18"/>
          <w:lang w:val="en-US"/>
        </w:rPr>
        <w:t xml:space="preserve"> </w:t>
      </w:r>
      <w:r w:rsidRPr="00AA0949">
        <w:rPr>
          <w:rFonts w:ascii="Times New Roman" w:hAnsi="Times New Roman" w:cs="Times New Roman"/>
          <w:sz w:val="18"/>
          <w:szCs w:val="18"/>
          <w:lang w:val="en-US"/>
        </w:rPr>
        <w:t>% at ≥ 35</w:t>
      </w:r>
      <w:r>
        <w:rPr>
          <w:rFonts w:ascii="Times New Roman" w:hAnsi="Times New Roman" w:cs="Times New Roman"/>
          <w:sz w:val="18"/>
          <w:szCs w:val="18"/>
          <w:lang w:val="en-US"/>
        </w:rPr>
        <w:t xml:space="preserve"> </w:t>
      </w:r>
      <w:r w:rsidRPr="00AA0949">
        <w:rPr>
          <w:rFonts w:ascii="Times New Roman" w:hAnsi="Times New Roman" w:cs="Times New Roman"/>
          <w:sz w:val="18"/>
          <w:szCs w:val="18"/>
          <w:lang w:val="en-US"/>
        </w:rPr>
        <w:t>°C and progressively increases at lower temperatures by 2 % per 1°C decrease to reach maximum inhibitions of either 10, 15, 20, 25, 30</w:t>
      </w:r>
      <w:r>
        <w:rPr>
          <w:rFonts w:ascii="Times New Roman" w:hAnsi="Times New Roman" w:cs="Times New Roman"/>
          <w:sz w:val="18"/>
          <w:szCs w:val="18"/>
          <w:lang w:val="en-US"/>
        </w:rPr>
        <w:t>,</w:t>
      </w:r>
      <w:r w:rsidRPr="00AA0949">
        <w:rPr>
          <w:rFonts w:ascii="Times New Roman" w:hAnsi="Times New Roman" w:cs="Times New Roman"/>
          <w:sz w:val="18"/>
          <w:szCs w:val="18"/>
          <w:lang w:val="en-US"/>
        </w:rPr>
        <w:t xml:space="preserve"> 40</w:t>
      </w:r>
      <w:r>
        <w:rPr>
          <w:rFonts w:ascii="Times New Roman" w:hAnsi="Times New Roman" w:cs="Times New Roman"/>
          <w:sz w:val="18"/>
          <w:szCs w:val="18"/>
          <w:lang w:val="en-US"/>
        </w:rPr>
        <w:t>, 60 or 100</w:t>
      </w:r>
      <w:r w:rsidRPr="00AA0949">
        <w:rPr>
          <w:rFonts w:ascii="Times New Roman" w:hAnsi="Times New Roman" w:cs="Times New Roman"/>
          <w:sz w:val="18"/>
          <w:szCs w:val="18"/>
          <w:lang w:val="en-US"/>
        </w:rPr>
        <w:t xml:space="preserve">%. This assumption is based on our results </w:t>
      </w:r>
      <w:r w:rsidRPr="00C07796">
        <w:rPr>
          <w:rFonts w:ascii="Times New Roman" w:hAnsi="Times New Roman" w:cs="Times New Roman"/>
          <w:sz w:val="18"/>
          <w:szCs w:val="18"/>
          <w:lang w:val="en-US"/>
        </w:rPr>
        <w:t>and a literature survey suggesting that temperature modulates the short-term, high-CO</w:t>
      </w:r>
      <w:r w:rsidRPr="00C07796">
        <w:rPr>
          <w:rFonts w:ascii="Times New Roman" w:hAnsi="Times New Roman" w:cs="Times New Roman"/>
          <w:sz w:val="18"/>
          <w:szCs w:val="18"/>
          <w:vertAlign w:val="subscript"/>
          <w:lang w:val="en-US"/>
        </w:rPr>
        <w:t>2</w:t>
      </w:r>
      <w:r w:rsidRPr="00C07796">
        <w:rPr>
          <w:rFonts w:ascii="Times New Roman" w:hAnsi="Times New Roman" w:cs="Times New Roman"/>
          <w:sz w:val="18"/>
          <w:szCs w:val="18"/>
          <w:lang w:val="en-US"/>
        </w:rPr>
        <w:t>-inhibition on isoprenoid emissions in a proxy linear way</w:t>
      </w:r>
      <w:r w:rsidRPr="00AA0949">
        <w:rPr>
          <w:rFonts w:ascii="Times New Roman" w:hAnsi="Times New Roman" w:cs="Times New Roman"/>
          <w:sz w:val="18"/>
          <w:szCs w:val="18"/>
          <w:lang w:val="en-US"/>
        </w:rPr>
        <w:t xml:space="preserve"> (</w:t>
      </w:r>
      <w:proofErr w:type="spellStart"/>
      <w:r w:rsidRPr="00AA0949">
        <w:rPr>
          <w:rFonts w:ascii="Times New Roman" w:hAnsi="Times New Roman" w:cs="Times New Roman"/>
          <w:sz w:val="18"/>
          <w:szCs w:val="18"/>
          <w:lang w:val="en-US"/>
        </w:rPr>
        <w:t>Rasulov</w:t>
      </w:r>
      <w:proofErr w:type="spellEnd"/>
      <w:r w:rsidRPr="00AA0949">
        <w:rPr>
          <w:rFonts w:ascii="Times New Roman" w:hAnsi="Times New Roman" w:cs="Times New Roman"/>
          <w:sz w:val="18"/>
          <w:szCs w:val="18"/>
          <w:lang w:val="en-US"/>
        </w:rPr>
        <w:t xml:space="preserve"> et al., 2010; </w:t>
      </w:r>
      <w:proofErr w:type="spellStart"/>
      <w:r w:rsidRPr="00AA0949">
        <w:rPr>
          <w:rFonts w:ascii="Times New Roman" w:hAnsi="Times New Roman" w:cs="Times New Roman"/>
          <w:sz w:val="18"/>
          <w:szCs w:val="18"/>
          <w:lang w:val="en-US"/>
        </w:rPr>
        <w:t>Potosnak</w:t>
      </w:r>
      <w:proofErr w:type="spellEnd"/>
      <w:r w:rsidRPr="00AA0949">
        <w:rPr>
          <w:rFonts w:ascii="Times New Roman" w:hAnsi="Times New Roman" w:cs="Times New Roman"/>
          <w:sz w:val="18"/>
          <w:szCs w:val="18"/>
          <w:lang w:val="en-US"/>
        </w:rPr>
        <w:t xml:space="preserve"> et al., 2014; Sharkey and Monson, 2014). The temperature enhancements (1-4</w:t>
      </w:r>
      <w:r>
        <w:rPr>
          <w:rFonts w:ascii="Times New Roman" w:hAnsi="Times New Roman" w:cs="Times New Roman"/>
          <w:sz w:val="18"/>
          <w:szCs w:val="18"/>
          <w:lang w:val="en-US"/>
        </w:rPr>
        <w:t xml:space="preserve"> </w:t>
      </w:r>
      <w:r w:rsidRPr="00AA0949">
        <w:rPr>
          <w:rFonts w:ascii="Times New Roman" w:hAnsi="Times New Roman" w:cs="Times New Roman"/>
          <w:sz w:val="18"/>
          <w:szCs w:val="18"/>
          <w:lang w:val="en-US"/>
        </w:rPr>
        <w:t xml:space="preserve">°C) </w:t>
      </w:r>
      <w:r w:rsidRPr="006F2172">
        <w:rPr>
          <w:rFonts w:ascii="Times New Roman" w:hAnsi="Times New Roman" w:cs="Times New Roman"/>
          <w:sz w:val="18"/>
          <w:szCs w:val="18"/>
          <w:lang w:val="en-US"/>
        </w:rPr>
        <w:t>encompass the range predicted to occur with doubling [CO2] by the end of the century (2.8-4.6 °C relative to the 1850-1900 period, scenario SSP3-7.0; IPCC 2021).</w:t>
      </w:r>
      <w:r w:rsidRPr="00AA0949">
        <w:rPr>
          <w:rFonts w:ascii="Times New Roman" w:hAnsi="Times New Roman" w:cs="Times New Roman"/>
          <w:sz w:val="18"/>
          <w:szCs w:val="18"/>
          <w:lang w:val="en-US"/>
        </w:rPr>
        <w:t xml:space="preserve"> </w:t>
      </w:r>
    </w:p>
    <w:p w14:paraId="6C2DC816" w14:textId="77777777" w:rsidR="002F7A13" w:rsidRDefault="002F7A13" w:rsidP="00423070">
      <w:pPr>
        <w:spacing w:after="0"/>
        <w:jc w:val="both"/>
        <w:rPr>
          <w:rFonts w:ascii="Times New Roman" w:hAnsi="Times New Roman" w:cs="Times New Roman"/>
          <w:sz w:val="18"/>
          <w:szCs w:val="18"/>
          <w:lang w:val="en-US"/>
        </w:rPr>
      </w:pPr>
    </w:p>
    <w:tbl>
      <w:tblPr>
        <w:tblpPr w:leftFromText="142" w:rightFromText="142" w:vertAnchor="page" w:horzAnchor="margin" w:tblpY="5579"/>
        <w:tblW w:w="10661" w:type="dxa"/>
        <w:tblBorders>
          <w:top w:val="single" w:sz="8" w:space="0" w:color="auto"/>
          <w:bottom w:val="single" w:sz="8" w:space="0" w:color="auto"/>
          <w:insideH w:val="dashSmallGap" w:sz="4" w:space="0" w:color="auto"/>
        </w:tblBorders>
        <w:tblLayout w:type="fixed"/>
        <w:tblCellMar>
          <w:left w:w="0" w:type="dxa"/>
          <w:right w:w="0" w:type="dxa"/>
        </w:tblCellMar>
        <w:tblLook w:val="04A0" w:firstRow="1" w:lastRow="0" w:firstColumn="1" w:lastColumn="0" w:noHBand="0" w:noVBand="1"/>
      </w:tblPr>
      <w:tblGrid>
        <w:gridCol w:w="1183"/>
        <w:gridCol w:w="1185"/>
        <w:gridCol w:w="1185"/>
        <w:gridCol w:w="1185"/>
        <w:gridCol w:w="1185"/>
        <w:gridCol w:w="1184"/>
        <w:gridCol w:w="1185"/>
        <w:gridCol w:w="1184"/>
        <w:gridCol w:w="1185"/>
      </w:tblGrid>
      <w:tr w:rsidR="008A19C5" w:rsidRPr="00775CE7" w14:paraId="2820C47D" w14:textId="77777777" w:rsidTr="008A19C5">
        <w:trPr>
          <w:trHeight w:val="564"/>
        </w:trPr>
        <w:tc>
          <w:tcPr>
            <w:tcW w:w="1183" w:type="dxa"/>
            <w:vMerge w:val="restart"/>
            <w:tcBorders>
              <w:top w:val="single" w:sz="8" w:space="0" w:color="auto"/>
            </w:tcBorders>
            <w:shd w:val="clear" w:color="auto" w:fill="auto"/>
            <w:vAlign w:val="center"/>
            <w:hideMark/>
          </w:tcPr>
          <w:p w14:paraId="1E605DAB" w14:textId="77777777" w:rsidR="008A19C5" w:rsidRPr="00775CE7" w:rsidRDefault="008A19C5" w:rsidP="008A19C5">
            <w:pPr>
              <w:autoSpaceDE w:val="0"/>
              <w:autoSpaceDN w:val="0"/>
              <w:adjustRightInd w:val="0"/>
              <w:snapToGrid w:val="0"/>
              <w:spacing w:after="0" w:line="240" w:lineRule="auto"/>
              <w:jc w:val="center"/>
              <w:rPr>
                <w:rFonts w:ascii="Times New Roman" w:eastAsia="Times New Roman" w:hAnsi="Times New Roman" w:cs="Times New Roman"/>
                <w:b/>
                <w:bCs/>
                <w:sz w:val="20"/>
                <w:szCs w:val="20"/>
                <w:lang w:eastAsia="fr-FR"/>
              </w:rPr>
            </w:pPr>
            <w:r w:rsidRPr="00775CE7">
              <w:rPr>
                <w:rFonts w:ascii="Times New Roman" w:eastAsia="Times New Roman" w:hAnsi="Times New Roman" w:cs="Times New Roman"/>
                <w:b/>
                <w:bCs/>
                <w:sz w:val="20"/>
                <w:szCs w:val="20"/>
                <w:lang w:eastAsia="fr-FR"/>
              </w:rPr>
              <w:t>Max CO</w:t>
            </w:r>
            <w:r w:rsidRPr="00775CE7">
              <w:rPr>
                <w:rFonts w:ascii="Times New Roman" w:eastAsia="Times New Roman" w:hAnsi="Times New Roman" w:cs="Times New Roman"/>
                <w:b/>
                <w:bCs/>
                <w:sz w:val="20"/>
                <w:szCs w:val="20"/>
                <w:vertAlign w:val="subscript"/>
                <w:lang w:eastAsia="fr-FR"/>
              </w:rPr>
              <w:t>2</w:t>
            </w:r>
            <w:r w:rsidRPr="00775CE7">
              <w:rPr>
                <w:rFonts w:ascii="Times New Roman" w:eastAsia="Times New Roman" w:hAnsi="Times New Roman" w:cs="Times New Roman"/>
                <w:b/>
                <w:bCs/>
                <w:sz w:val="20"/>
                <w:szCs w:val="20"/>
                <w:lang w:eastAsia="fr-FR"/>
              </w:rPr>
              <w:t>-inhibition</w:t>
            </w:r>
          </w:p>
          <w:p w14:paraId="71F62656" w14:textId="77777777" w:rsidR="008A19C5" w:rsidRPr="00775CE7" w:rsidRDefault="008A19C5" w:rsidP="008A19C5">
            <w:pPr>
              <w:autoSpaceDE w:val="0"/>
              <w:autoSpaceDN w:val="0"/>
              <w:adjustRightInd w:val="0"/>
              <w:snapToGrid w:val="0"/>
              <w:spacing w:after="0" w:line="240" w:lineRule="auto"/>
              <w:jc w:val="center"/>
              <w:rPr>
                <w:rFonts w:ascii="Times New Roman" w:eastAsia="Times New Roman" w:hAnsi="Times New Roman" w:cs="Times New Roman"/>
                <w:b/>
                <w:bCs/>
                <w:sz w:val="20"/>
                <w:szCs w:val="20"/>
                <w:lang w:eastAsia="fr-FR"/>
              </w:rPr>
            </w:pPr>
            <w:r w:rsidRPr="00775CE7">
              <w:rPr>
                <w:rFonts w:ascii="Times New Roman" w:eastAsia="Times New Roman" w:hAnsi="Times New Roman" w:cs="Times New Roman"/>
                <w:b/>
                <w:bCs/>
                <w:sz w:val="20"/>
                <w:szCs w:val="20"/>
                <w:lang w:eastAsia="fr-FR"/>
              </w:rPr>
              <w:t>(%)</w:t>
            </w:r>
          </w:p>
        </w:tc>
        <w:tc>
          <w:tcPr>
            <w:tcW w:w="2370" w:type="dxa"/>
            <w:gridSpan w:val="2"/>
            <w:tcBorders>
              <w:top w:val="single" w:sz="8" w:space="0" w:color="auto"/>
              <w:bottom w:val="nil"/>
            </w:tcBorders>
            <w:vAlign w:val="center"/>
          </w:tcPr>
          <w:p w14:paraId="0B299A72" w14:textId="77777777" w:rsidR="008A19C5" w:rsidRPr="00775CE7" w:rsidRDefault="008A19C5" w:rsidP="008A19C5">
            <w:pPr>
              <w:autoSpaceDE w:val="0"/>
              <w:autoSpaceDN w:val="0"/>
              <w:adjustRightInd w:val="0"/>
              <w:snapToGrid w:val="0"/>
              <w:spacing w:after="0" w:line="240" w:lineRule="auto"/>
              <w:jc w:val="center"/>
              <w:rPr>
                <w:rFonts w:ascii="Times New Roman" w:eastAsia="Times New Roman" w:hAnsi="Times New Roman" w:cs="Times New Roman"/>
                <w:b/>
                <w:bCs/>
                <w:sz w:val="20"/>
                <w:szCs w:val="20"/>
                <w:lang w:eastAsia="fr-FR"/>
              </w:rPr>
            </w:pPr>
            <w:r w:rsidRPr="00775CE7">
              <w:rPr>
                <w:rFonts w:ascii="Times New Roman" w:eastAsia="Times New Roman" w:hAnsi="Times New Roman" w:cs="Times New Roman"/>
                <w:b/>
                <w:bCs/>
                <w:sz w:val="20"/>
                <w:szCs w:val="20"/>
                <w:lang w:eastAsia="fr-FR"/>
              </w:rPr>
              <w:t xml:space="preserve">1°C </w:t>
            </w:r>
            <w:proofErr w:type="spellStart"/>
            <w:r w:rsidRPr="00775CE7">
              <w:rPr>
                <w:rFonts w:ascii="Times New Roman" w:eastAsia="Times New Roman" w:hAnsi="Times New Roman" w:cs="Times New Roman"/>
                <w:b/>
                <w:bCs/>
                <w:sz w:val="20"/>
                <w:szCs w:val="20"/>
                <w:lang w:eastAsia="fr-FR"/>
              </w:rPr>
              <w:t>warming</w:t>
            </w:r>
            <w:proofErr w:type="spellEnd"/>
          </w:p>
        </w:tc>
        <w:tc>
          <w:tcPr>
            <w:tcW w:w="2370" w:type="dxa"/>
            <w:gridSpan w:val="2"/>
            <w:tcBorders>
              <w:top w:val="single" w:sz="8" w:space="0" w:color="auto"/>
              <w:bottom w:val="nil"/>
            </w:tcBorders>
            <w:shd w:val="clear" w:color="auto" w:fill="auto"/>
            <w:vAlign w:val="center"/>
            <w:hideMark/>
          </w:tcPr>
          <w:p w14:paraId="5616BBCA" w14:textId="77777777" w:rsidR="008A19C5" w:rsidRPr="00775CE7" w:rsidRDefault="008A19C5" w:rsidP="008A19C5">
            <w:pPr>
              <w:autoSpaceDE w:val="0"/>
              <w:autoSpaceDN w:val="0"/>
              <w:adjustRightInd w:val="0"/>
              <w:snapToGrid w:val="0"/>
              <w:spacing w:after="0" w:line="240" w:lineRule="auto"/>
              <w:jc w:val="center"/>
              <w:rPr>
                <w:rFonts w:ascii="Times New Roman" w:eastAsia="Times New Roman" w:hAnsi="Times New Roman" w:cs="Times New Roman"/>
                <w:b/>
                <w:bCs/>
                <w:sz w:val="20"/>
                <w:szCs w:val="20"/>
                <w:lang w:eastAsia="fr-FR"/>
              </w:rPr>
            </w:pPr>
            <w:r w:rsidRPr="00775CE7">
              <w:rPr>
                <w:rFonts w:ascii="Times New Roman" w:eastAsia="Times New Roman" w:hAnsi="Times New Roman" w:cs="Times New Roman"/>
                <w:b/>
                <w:bCs/>
                <w:sz w:val="20"/>
                <w:szCs w:val="20"/>
                <w:lang w:eastAsia="fr-FR"/>
              </w:rPr>
              <w:t xml:space="preserve">2°C </w:t>
            </w:r>
            <w:proofErr w:type="spellStart"/>
            <w:r w:rsidRPr="00775CE7">
              <w:rPr>
                <w:rFonts w:ascii="Times New Roman" w:eastAsia="Times New Roman" w:hAnsi="Times New Roman" w:cs="Times New Roman"/>
                <w:b/>
                <w:bCs/>
                <w:sz w:val="20"/>
                <w:szCs w:val="20"/>
                <w:lang w:eastAsia="fr-FR"/>
              </w:rPr>
              <w:t>warming</w:t>
            </w:r>
            <w:proofErr w:type="spellEnd"/>
          </w:p>
        </w:tc>
        <w:tc>
          <w:tcPr>
            <w:tcW w:w="2369" w:type="dxa"/>
            <w:gridSpan w:val="2"/>
            <w:tcBorders>
              <w:top w:val="single" w:sz="8" w:space="0" w:color="auto"/>
              <w:bottom w:val="nil"/>
            </w:tcBorders>
            <w:shd w:val="clear" w:color="auto" w:fill="auto"/>
            <w:vAlign w:val="center"/>
            <w:hideMark/>
          </w:tcPr>
          <w:p w14:paraId="412F0CF3" w14:textId="77777777" w:rsidR="008A19C5" w:rsidRPr="00775CE7" w:rsidRDefault="008A19C5" w:rsidP="008A19C5">
            <w:pPr>
              <w:autoSpaceDE w:val="0"/>
              <w:autoSpaceDN w:val="0"/>
              <w:adjustRightInd w:val="0"/>
              <w:snapToGrid w:val="0"/>
              <w:spacing w:after="0" w:line="240" w:lineRule="auto"/>
              <w:jc w:val="center"/>
              <w:rPr>
                <w:rFonts w:ascii="Times New Roman" w:eastAsia="Times New Roman" w:hAnsi="Times New Roman" w:cs="Times New Roman"/>
                <w:b/>
                <w:bCs/>
                <w:sz w:val="20"/>
                <w:szCs w:val="20"/>
                <w:lang w:eastAsia="fr-FR"/>
              </w:rPr>
            </w:pPr>
            <w:r w:rsidRPr="00775CE7">
              <w:rPr>
                <w:rFonts w:ascii="Times New Roman" w:eastAsia="Times New Roman" w:hAnsi="Times New Roman" w:cs="Times New Roman"/>
                <w:b/>
                <w:bCs/>
                <w:sz w:val="20"/>
                <w:szCs w:val="20"/>
                <w:lang w:eastAsia="fr-FR"/>
              </w:rPr>
              <w:t xml:space="preserve">3°C </w:t>
            </w:r>
            <w:proofErr w:type="spellStart"/>
            <w:r w:rsidRPr="00775CE7">
              <w:rPr>
                <w:rFonts w:ascii="Times New Roman" w:eastAsia="Times New Roman" w:hAnsi="Times New Roman" w:cs="Times New Roman"/>
                <w:b/>
                <w:bCs/>
                <w:sz w:val="20"/>
                <w:szCs w:val="20"/>
                <w:lang w:eastAsia="fr-FR"/>
              </w:rPr>
              <w:t>warming</w:t>
            </w:r>
            <w:proofErr w:type="spellEnd"/>
            <w:r w:rsidRPr="00775CE7">
              <w:rPr>
                <w:rFonts w:ascii="Times New Roman" w:eastAsia="Times New Roman" w:hAnsi="Times New Roman" w:cs="Times New Roman"/>
                <w:b/>
                <w:bCs/>
                <w:sz w:val="20"/>
                <w:szCs w:val="20"/>
                <w:lang w:eastAsia="fr-FR"/>
              </w:rPr>
              <w:t xml:space="preserve"> </w:t>
            </w:r>
          </w:p>
        </w:tc>
        <w:tc>
          <w:tcPr>
            <w:tcW w:w="2369" w:type="dxa"/>
            <w:gridSpan w:val="2"/>
            <w:tcBorders>
              <w:top w:val="single" w:sz="8" w:space="0" w:color="auto"/>
              <w:bottom w:val="nil"/>
            </w:tcBorders>
            <w:shd w:val="clear" w:color="auto" w:fill="auto"/>
            <w:vAlign w:val="center"/>
          </w:tcPr>
          <w:p w14:paraId="45109494" w14:textId="77777777" w:rsidR="008A19C5" w:rsidRPr="00775CE7" w:rsidRDefault="008A19C5" w:rsidP="008A19C5">
            <w:pPr>
              <w:autoSpaceDE w:val="0"/>
              <w:autoSpaceDN w:val="0"/>
              <w:adjustRightInd w:val="0"/>
              <w:snapToGrid w:val="0"/>
              <w:spacing w:after="0" w:line="240" w:lineRule="auto"/>
              <w:jc w:val="center"/>
              <w:rPr>
                <w:rFonts w:ascii="Times New Roman" w:eastAsia="Times New Roman" w:hAnsi="Times New Roman" w:cs="Times New Roman"/>
                <w:b/>
                <w:bCs/>
                <w:sz w:val="20"/>
                <w:szCs w:val="20"/>
                <w:lang w:eastAsia="fr-FR"/>
              </w:rPr>
            </w:pPr>
            <w:r w:rsidRPr="00775CE7">
              <w:rPr>
                <w:rFonts w:ascii="Times New Roman" w:eastAsia="Times New Roman" w:hAnsi="Times New Roman" w:cs="Times New Roman"/>
                <w:b/>
                <w:bCs/>
                <w:sz w:val="20"/>
                <w:szCs w:val="20"/>
                <w:lang w:eastAsia="fr-FR"/>
              </w:rPr>
              <w:t xml:space="preserve">4°C </w:t>
            </w:r>
            <w:proofErr w:type="spellStart"/>
            <w:r w:rsidRPr="00775CE7">
              <w:rPr>
                <w:rFonts w:ascii="Times New Roman" w:eastAsia="Times New Roman" w:hAnsi="Times New Roman" w:cs="Times New Roman"/>
                <w:b/>
                <w:bCs/>
                <w:sz w:val="20"/>
                <w:szCs w:val="20"/>
                <w:lang w:eastAsia="fr-FR"/>
              </w:rPr>
              <w:t>warming</w:t>
            </w:r>
            <w:proofErr w:type="spellEnd"/>
          </w:p>
        </w:tc>
      </w:tr>
      <w:tr w:rsidR="008A19C5" w:rsidRPr="00775CE7" w14:paraId="1EED873C" w14:textId="77777777" w:rsidTr="008A19C5">
        <w:trPr>
          <w:trHeight w:val="564"/>
        </w:trPr>
        <w:tc>
          <w:tcPr>
            <w:tcW w:w="1183" w:type="dxa"/>
            <w:vMerge/>
            <w:tcBorders>
              <w:bottom w:val="single" w:sz="4" w:space="0" w:color="auto"/>
            </w:tcBorders>
            <w:shd w:val="clear" w:color="auto" w:fill="auto"/>
            <w:vAlign w:val="center"/>
          </w:tcPr>
          <w:p w14:paraId="0C1EB745" w14:textId="77777777" w:rsidR="008A19C5" w:rsidRPr="00775CE7" w:rsidRDefault="008A19C5" w:rsidP="008A19C5">
            <w:pPr>
              <w:autoSpaceDE w:val="0"/>
              <w:autoSpaceDN w:val="0"/>
              <w:adjustRightInd w:val="0"/>
              <w:snapToGrid w:val="0"/>
              <w:spacing w:after="0" w:line="240" w:lineRule="auto"/>
              <w:jc w:val="center"/>
              <w:rPr>
                <w:rFonts w:ascii="Times New Roman" w:eastAsia="Times New Roman" w:hAnsi="Times New Roman" w:cs="Times New Roman"/>
                <w:b/>
                <w:bCs/>
                <w:sz w:val="20"/>
                <w:szCs w:val="20"/>
                <w:lang w:eastAsia="fr-FR"/>
              </w:rPr>
            </w:pPr>
          </w:p>
        </w:tc>
        <w:tc>
          <w:tcPr>
            <w:tcW w:w="1185" w:type="dxa"/>
            <w:tcBorders>
              <w:top w:val="nil"/>
              <w:bottom w:val="single" w:sz="4" w:space="0" w:color="auto"/>
            </w:tcBorders>
          </w:tcPr>
          <w:p w14:paraId="11698CF7" w14:textId="77777777" w:rsidR="008A19C5" w:rsidRPr="00775CE7" w:rsidRDefault="008A19C5" w:rsidP="008A19C5">
            <w:pPr>
              <w:autoSpaceDE w:val="0"/>
              <w:autoSpaceDN w:val="0"/>
              <w:adjustRightInd w:val="0"/>
              <w:snapToGrid w:val="0"/>
              <w:spacing w:after="0" w:line="240" w:lineRule="auto"/>
              <w:jc w:val="center"/>
              <w:rPr>
                <w:rFonts w:ascii="Times New Roman" w:eastAsia="Times New Roman" w:hAnsi="Times New Roman" w:cs="Times New Roman"/>
                <w:b/>
                <w:bCs/>
                <w:sz w:val="20"/>
                <w:szCs w:val="20"/>
                <w:lang w:eastAsia="fr-FR"/>
              </w:rPr>
            </w:pPr>
            <w:r w:rsidRPr="00775CE7">
              <w:rPr>
                <w:rFonts w:ascii="Times New Roman" w:eastAsia="Times New Roman" w:hAnsi="Times New Roman" w:cs="Times New Roman"/>
                <w:b/>
                <w:bCs/>
                <w:sz w:val="20"/>
                <w:szCs w:val="20"/>
                <w:lang w:eastAsia="fr-FR"/>
              </w:rPr>
              <w:t xml:space="preserve">%Total </w:t>
            </w:r>
            <w:proofErr w:type="spellStart"/>
            <w:r w:rsidRPr="00775CE7">
              <w:rPr>
                <w:rFonts w:ascii="Times New Roman" w:eastAsia="Times New Roman" w:hAnsi="Times New Roman" w:cs="Times New Roman"/>
                <w:b/>
                <w:bCs/>
                <w:sz w:val="20"/>
                <w:szCs w:val="20"/>
                <w:lang w:eastAsia="fr-FR"/>
              </w:rPr>
              <w:t>Increase</w:t>
            </w:r>
            <w:proofErr w:type="spellEnd"/>
          </w:p>
        </w:tc>
        <w:tc>
          <w:tcPr>
            <w:tcW w:w="1185" w:type="dxa"/>
            <w:tcBorders>
              <w:top w:val="nil"/>
              <w:bottom w:val="single" w:sz="4" w:space="0" w:color="auto"/>
            </w:tcBorders>
            <w:vAlign w:val="center"/>
          </w:tcPr>
          <w:p w14:paraId="19518A5E" w14:textId="77777777" w:rsidR="008A19C5" w:rsidRPr="00775CE7" w:rsidRDefault="008A19C5" w:rsidP="008A19C5">
            <w:pPr>
              <w:autoSpaceDE w:val="0"/>
              <w:autoSpaceDN w:val="0"/>
              <w:adjustRightInd w:val="0"/>
              <w:snapToGrid w:val="0"/>
              <w:spacing w:after="0" w:line="240" w:lineRule="auto"/>
              <w:jc w:val="center"/>
              <w:rPr>
                <w:rFonts w:ascii="Times New Roman" w:eastAsia="Times New Roman" w:hAnsi="Times New Roman" w:cs="Times New Roman"/>
                <w:b/>
                <w:bCs/>
                <w:sz w:val="20"/>
                <w:szCs w:val="20"/>
                <w:lang w:eastAsia="fr-FR"/>
              </w:rPr>
            </w:pPr>
            <w:r w:rsidRPr="00775CE7">
              <w:rPr>
                <w:rFonts w:ascii="Times New Roman" w:eastAsia="Times New Roman" w:hAnsi="Times New Roman" w:cs="Times New Roman"/>
                <w:b/>
                <w:bCs/>
                <w:sz w:val="20"/>
                <w:szCs w:val="20"/>
                <w:lang w:eastAsia="fr-FR"/>
              </w:rPr>
              <w:t>%CO</w:t>
            </w:r>
            <w:r w:rsidRPr="00775CE7">
              <w:rPr>
                <w:rFonts w:ascii="Times New Roman" w:eastAsia="Times New Roman" w:hAnsi="Times New Roman" w:cs="Times New Roman"/>
                <w:b/>
                <w:bCs/>
                <w:sz w:val="20"/>
                <w:szCs w:val="20"/>
                <w:vertAlign w:val="subscript"/>
                <w:lang w:eastAsia="fr-FR"/>
              </w:rPr>
              <w:t>2</w:t>
            </w:r>
            <w:r w:rsidRPr="00775CE7">
              <w:rPr>
                <w:rFonts w:ascii="Times New Roman" w:eastAsia="Times New Roman" w:hAnsi="Times New Roman" w:cs="Times New Roman"/>
                <w:b/>
                <w:bCs/>
                <w:sz w:val="20"/>
                <w:szCs w:val="20"/>
                <w:lang w:eastAsia="fr-FR"/>
              </w:rPr>
              <w:t>-Inhibition</w:t>
            </w:r>
          </w:p>
        </w:tc>
        <w:tc>
          <w:tcPr>
            <w:tcW w:w="1185" w:type="dxa"/>
            <w:tcBorders>
              <w:top w:val="nil"/>
              <w:bottom w:val="single" w:sz="4" w:space="0" w:color="auto"/>
            </w:tcBorders>
            <w:shd w:val="clear" w:color="auto" w:fill="auto"/>
            <w:vAlign w:val="center"/>
          </w:tcPr>
          <w:p w14:paraId="6835F92F" w14:textId="77777777" w:rsidR="008A19C5" w:rsidRPr="00775CE7" w:rsidRDefault="008A19C5" w:rsidP="008A19C5">
            <w:pPr>
              <w:autoSpaceDE w:val="0"/>
              <w:autoSpaceDN w:val="0"/>
              <w:adjustRightInd w:val="0"/>
              <w:snapToGrid w:val="0"/>
              <w:spacing w:after="0" w:line="240" w:lineRule="auto"/>
              <w:jc w:val="center"/>
              <w:rPr>
                <w:rFonts w:ascii="Times New Roman" w:eastAsia="Times New Roman" w:hAnsi="Times New Roman" w:cs="Times New Roman"/>
                <w:b/>
                <w:bCs/>
                <w:sz w:val="20"/>
                <w:szCs w:val="20"/>
                <w:lang w:eastAsia="fr-FR"/>
              </w:rPr>
            </w:pPr>
            <w:r w:rsidRPr="00775CE7">
              <w:rPr>
                <w:rFonts w:ascii="Times New Roman" w:eastAsia="Times New Roman" w:hAnsi="Times New Roman" w:cs="Times New Roman"/>
                <w:b/>
                <w:bCs/>
                <w:sz w:val="20"/>
                <w:szCs w:val="20"/>
                <w:lang w:eastAsia="fr-FR"/>
              </w:rPr>
              <w:t xml:space="preserve">%Total </w:t>
            </w:r>
            <w:proofErr w:type="spellStart"/>
            <w:r w:rsidRPr="00775CE7">
              <w:rPr>
                <w:rFonts w:ascii="Times New Roman" w:eastAsia="Times New Roman" w:hAnsi="Times New Roman" w:cs="Times New Roman"/>
                <w:b/>
                <w:bCs/>
                <w:sz w:val="20"/>
                <w:szCs w:val="20"/>
                <w:lang w:eastAsia="fr-FR"/>
              </w:rPr>
              <w:t>Increase</w:t>
            </w:r>
            <w:proofErr w:type="spellEnd"/>
          </w:p>
        </w:tc>
        <w:tc>
          <w:tcPr>
            <w:tcW w:w="1185" w:type="dxa"/>
            <w:tcBorders>
              <w:top w:val="nil"/>
              <w:bottom w:val="single" w:sz="4" w:space="0" w:color="auto"/>
            </w:tcBorders>
            <w:shd w:val="clear" w:color="auto" w:fill="auto"/>
            <w:vAlign w:val="center"/>
          </w:tcPr>
          <w:p w14:paraId="79A57363" w14:textId="77777777" w:rsidR="008A19C5" w:rsidRPr="00775CE7" w:rsidRDefault="008A19C5" w:rsidP="008A19C5">
            <w:pPr>
              <w:autoSpaceDE w:val="0"/>
              <w:autoSpaceDN w:val="0"/>
              <w:adjustRightInd w:val="0"/>
              <w:snapToGrid w:val="0"/>
              <w:spacing w:after="0" w:line="240" w:lineRule="auto"/>
              <w:jc w:val="center"/>
              <w:rPr>
                <w:rFonts w:ascii="Times New Roman" w:eastAsia="Times New Roman" w:hAnsi="Times New Roman" w:cs="Times New Roman"/>
                <w:b/>
                <w:bCs/>
                <w:sz w:val="20"/>
                <w:szCs w:val="20"/>
                <w:lang w:eastAsia="fr-FR"/>
              </w:rPr>
            </w:pPr>
            <w:r w:rsidRPr="00775CE7">
              <w:rPr>
                <w:rFonts w:ascii="Times New Roman" w:eastAsia="Times New Roman" w:hAnsi="Times New Roman" w:cs="Times New Roman"/>
                <w:b/>
                <w:bCs/>
                <w:sz w:val="20"/>
                <w:szCs w:val="20"/>
                <w:lang w:eastAsia="fr-FR"/>
              </w:rPr>
              <w:t>%CO</w:t>
            </w:r>
            <w:r w:rsidRPr="00775CE7">
              <w:rPr>
                <w:rFonts w:ascii="Times New Roman" w:eastAsia="Times New Roman" w:hAnsi="Times New Roman" w:cs="Times New Roman"/>
                <w:b/>
                <w:bCs/>
                <w:sz w:val="20"/>
                <w:szCs w:val="20"/>
                <w:vertAlign w:val="subscript"/>
                <w:lang w:eastAsia="fr-FR"/>
              </w:rPr>
              <w:t>2</w:t>
            </w:r>
            <w:r w:rsidRPr="00775CE7">
              <w:rPr>
                <w:rFonts w:ascii="Times New Roman" w:eastAsia="Times New Roman" w:hAnsi="Times New Roman" w:cs="Times New Roman"/>
                <w:b/>
                <w:bCs/>
                <w:sz w:val="20"/>
                <w:szCs w:val="20"/>
                <w:lang w:eastAsia="fr-FR"/>
              </w:rPr>
              <w:t>-Inhibition</w:t>
            </w:r>
          </w:p>
        </w:tc>
        <w:tc>
          <w:tcPr>
            <w:tcW w:w="1184" w:type="dxa"/>
            <w:tcBorders>
              <w:top w:val="nil"/>
              <w:bottom w:val="single" w:sz="4" w:space="0" w:color="auto"/>
            </w:tcBorders>
            <w:shd w:val="clear" w:color="auto" w:fill="auto"/>
            <w:vAlign w:val="center"/>
          </w:tcPr>
          <w:p w14:paraId="5B488BB5" w14:textId="77777777" w:rsidR="008A19C5" w:rsidRPr="00775CE7" w:rsidRDefault="008A19C5" w:rsidP="008A19C5">
            <w:pPr>
              <w:autoSpaceDE w:val="0"/>
              <w:autoSpaceDN w:val="0"/>
              <w:adjustRightInd w:val="0"/>
              <w:snapToGrid w:val="0"/>
              <w:spacing w:after="0" w:line="240" w:lineRule="auto"/>
              <w:jc w:val="center"/>
              <w:rPr>
                <w:rFonts w:ascii="Times New Roman" w:eastAsia="Times New Roman" w:hAnsi="Times New Roman" w:cs="Times New Roman"/>
                <w:b/>
                <w:bCs/>
                <w:sz w:val="20"/>
                <w:szCs w:val="20"/>
                <w:lang w:eastAsia="fr-FR"/>
              </w:rPr>
            </w:pPr>
            <w:r w:rsidRPr="00775CE7">
              <w:rPr>
                <w:rFonts w:ascii="Times New Roman" w:eastAsia="Times New Roman" w:hAnsi="Times New Roman" w:cs="Times New Roman"/>
                <w:b/>
                <w:bCs/>
                <w:sz w:val="20"/>
                <w:szCs w:val="20"/>
                <w:lang w:eastAsia="fr-FR"/>
              </w:rPr>
              <w:t xml:space="preserve">%Total </w:t>
            </w:r>
            <w:proofErr w:type="spellStart"/>
            <w:r w:rsidRPr="00775CE7">
              <w:rPr>
                <w:rFonts w:ascii="Times New Roman" w:eastAsia="Times New Roman" w:hAnsi="Times New Roman" w:cs="Times New Roman"/>
                <w:b/>
                <w:bCs/>
                <w:sz w:val="20"/>
                <w:szCs w:val="20"/>
                <w:lang w:eastAsia="fr-FR"/>
              </w:rPr>
              <w:t>Increase</w:t>
            </w:r>
            <w:proofErr w:type="spellEnd"/>
          </w:p>
        </w:tc>
        <w:tc>
          <w:tcPr>
            <w:tcW w:w="1185" w:type="dxa"/>
            <w:tcBorders>
              <w:top w:val="nil"/>
              <w:bottom w:val="single" w:sz="4" w:space="0" w:color="auto"/>
            </w:tcBorders>
            <w:shd w:val="clear" w:color="auto" w:fill="auto"/>
            <w:vAlign w:val="center"/>
          </w:tcPr>
          <w:p w14:paraId="09248A94" w14:textId="77777777" w:rsidR="008A19C5" w:rsidRPr="00775CE7" w:rsidRDefault="008A19C5" w:rsidP="008A19C5">
            <w:pPr>
              <w:autoSpaceDE w:val="0"/>
              <w:autoSpaceDN w:val="0"/>
              <w:adjustRightInd w:val="0"/>
              <w:snapToGrid w:val="0"/>
              <w:spacing w:after="0" w:line="240" w:lineRule="auto"/>
              <w:jc w:val="center"/>
              <w:rPr>
                <w:rFonts w:ascii="Times New Roman" w:eastAsia="Times New Roman" w:hAnsi="Times New Roman" w:cs="Times New Roman"/>
                <w:b/>
                <w:bCs/>
                <w:sz w:val="20"/>
                <w:szCs w:val="20"/>
                <w:lang w:eastAsia="fr-FR"/>
              </w:rPr>
            </w:pPr>
            <w:r w:rsidRPr="00775CE7">
              <w:rPr>
                <w:rFonts w:ascii="Times New Roman" w:eastAsia="Times New Roman" w:hAnsi="Times New Roman" w:cs="Times New Roman"/>
                <w:b/>
                <w:bCs/>
                <w:sz w:val="20"/>
                <w:szCs w:val="20"/>
                <w:lang w:eastAsia="fr-FR"/>
              </w:rPr>
              <w:t>%CO</w:t>
            </w:r>
            <w:r w:rsidRPr="00775CE7">
              <w:rPr>
                <w:rFonts w:ascii="Times New Roman" w:eastAsia="Times New Roman" w:hAnsi="Times New Roman" w:cs="Times New Roman"/>
                <w:b/>
                <w:bCs/>
                <w:sz w:val="20"/>
                <w:szCs w:val="20"/>
                <w:vertAlign w:val="subscript"/>
                <w:lang w:eastAsia="fr-FR"/>
              </w:rPr>
              <w:t>2</w:t>
            </w:r>
            <w:r w:rsidRPr="00775CE7">
              <w:rPr>
                <w:rFonts w:ascii="Times New Roman" w:eastAsia="Times New Roman" w:hAnsi="Times New Roman" w:cs="Times New Roman"/>
                <w:b/>
                <w:bCs/>
                <w:sz w:val="20"/>
                <w:szCs w:val="20"/>
                <w:lang w:eastAsia="fr-FR"/>
              </w:rPr>
              <w:t>-Inhibition</w:t>
            </w:r>
          </w:p>
        </w:tc>
        <w:tc>
          <w:tcPr>
            <w:tcW w:w="1184" w:type="dxa"/>
            <w:tcBorders>
              <w:top w:val="nil"/>
              <w:bottom w:val="single" w:sz="4" w:space="0" w:color="auto"/>
            </w:tcBorders>
            <w:shd w:val="clear" w:color="auto" w:fill="auto"/>
            <w:vAlign w:val="center"/>
          </w:tcPr>
          <w:p w14:paraId="59E511DA" w14:textId="77777777" w:rsidR="008A19C5" w:rsidRPr="00775CE7" w:rsidRDefault="008A19C5" w:rsidP="008A19C5">
            <w:pPr>
              <w:autoSpaceDE w:val="0"/>
              <w:autoSpaceDN w:val="0"/>
              <w:adjustRightInd w:val="0"/>
              <w:snapToGrid w:val="0"/>
              <w:spacing w:after="0" w:line="240" w:lineRule="auto"/>
              <w:jc w:val="center"/>
              <w:rPr>
                <w:rFonts w:ascii="Times New Roman" w:eastAsia="Times New Roman" w:hAnsi="Times New Roman" w:cs="Times New Roman"/>
                <w:b/>
                <w:bCs/>
                <w:sz w:val="20"/>
                <w:szCs w:val="20"/>
                <w:lang w:eastAsia="fr-FR"/>
              </w:rPr>
            </w:pPr>
            <w:r w:rsidRPr="00775CE7">
              <w:rPr>
                <w:rFonts w:ascii="Times New Roman" w:eastAsia="Times New Roman" w:hAnsi="Times New Roman" w:cs="Times New Roman"/>
                <w:b/>
                <w:bCs/>
                <w:sz w:val="20"/>
                <w:szCs w:val="20"/>
                <w:lang w:eastAsia="fr-FR"/>
              </w:rPr>
              <w:t xml:space="preserve">%Total </w:t>
            </w:r>
            <w:proofErr w:type="spellStart"/>
            <w:r w:rsidRPr="00775CE7">
              <w:rPr>
                <w:rFonts w:ascii="Times New Roman" w:eastAsia="Times New Roman" w:hAnsi="Times New Roman" w:cs="Times New Roman"/>
                <w:b/>
                <w:bCs/>
                <w:sz w:val="20"/>
                <w:szCs w:val="20"/>
                <w:lang w:eastAsia="fr-FR"/>
              </w:rPr>
              <w:t>Increase</w:t>
            </w:r>
            <w:proofErr w:type="spellEnd"/>
          </w:p>
        </w:tc>
        <w:tc>
          <w:tcPr>
            <w:tcW w:w="1185" w:type="dxa"/>
            <w:tcBorders>
              <w:top w:val="nil"/>
              <w:bottom w:val="single" w:sz="4" w:space="0" w:color="auto"/>
            </w:tcBorders>
            <w:shd w:val="clear" w:color="auto" w:fill="auto"/>
            <w:vAlign w:val="center"/>
          </w:tcPr>
          <w:p w14:paraId="43EAB9FA" w14:textId="77777777" w:rsidR="008A19C5" w:rsidRPr="00775CE7" w:rsidRDefault="008A19C5" w:rsidP="008A19C5">
            <w:pPr>
              <w:autoSpaceDE w:val="0"/>
              <w:autoSpaceDN w:val="0"/>
              <w:adjustRightInd w:val="0"/>
              <w:snapToGrid w:val="0"/>
              <w:spacing w:after="0" w:line="240" w:lineRule="auto"/>
              <w:jc w:val="center"/>
              <w:rPr>
                <w:rFonts w:ascii="Times New Roman" w:eastAsia="Times New Roman" w:hAnsi="Times New Roman" w:cs="Times New Roman"/>
                <w:b/>
                <w:bCs/>
                <w:sz w:val="20"/>
                <w:szCs w:val="20"/>
                <w:lang w:eastAsia="fr-FR"/>
              </w:rPr>
            </w:pPr>
            <w:r w:rsidRPr="00775CE7">
              <w:rPr>
                <w:rFonts w:ascii="Times New Roman" w:eastAsia="Times New Roman" w:hAnsi="Times New Roman" w:cs="Times New Roman"/>
                <w:b/>
                <w:bCs/>
                <w:sz w:val="20"/>
                <w:szCs w:val="20"/>
                <w:lang w:eastAsia="fr-FR"/>
              </w:rPr>
              <w:t>%CO</w:t>
            </w:r>
            <w:r w:rsidRPr="00775CE7">
              <w:rPr>
                <w:rFonts w:ascii="Times New Roman" w:eastAsia="Times New Roman" w:hAnsi="Times New Roman" w:cs="Times New Roman"/>
                <w:b/>
                <w:bCs/>
                <w:sz w:val="20"/>
                <w:szCs w:val="20"/>
                <w:vertAlign w:val="subscript"/>
                <w:lang w:eastAsia="fr-FR"/>
              </w:rPr>
              <w:t>2</w:t>
            </w:r>
            <w:r w:rsidRPr="00775CE7">
              <w:rPr>
                <w:rFonts w:ascii="Times New Roman" w:eastAsia="Times New Roman" w:hAnsi="Times New Roman" w:cs="Times New Roman"/>
                <w:b/>
                <w:bCs/>
                <w:sz w:val="20"/>
                <w:szCs w:val="20"/>
                <w:lang w:eastAsia="fr-FR"/>
              </w:rPr>
              <w:t>-Inhibition</w:t>
            </w:r>
          </w:p>
        </w:tc>
      </w:tr>
      <w:tr w:rsidR="008A19C5" w:rsidRPr="00775CE7" w14:paraId="647CD548" w14:textId="77777777" w:rsidTr="008A19C5">
        <w:trPr>
          <w:trHeight w:val="567"/>
        </w:trPr>
        <w:tc>
          <w:tcPr>
            <w:tcW w:w="1183" w:type="dxa"/>
            <w:tcBorders>
              <w:top w:val="nil"/>
              <w:bottom w:val="nil"/>
            </w:tcBorders>
            <w:shd w:val="clear" w:color="auto" w:fill="auto"/>
            <w:vAlign w:val="center"/>
          </w:tcPr>
          <w:p w14:paraId="1969D35A" w14:textId="77777777" w:rsidR="008A19C5" w:rsidRPr="00775CE7" w:rsidRDefault="008A19C5" w:rsidP="008A19C5">
            <w:pPr>
              <w:autoSpaceDE w:val="0"/>
              <w:autoSpaceDN w:val="0"/>
              <w:adjustRightInd w:val="0"/>
              <w:snapToGrid w:val="0"/>
              <w:spacing w:before="60" w:after="0" w:line="240" w:lineRule="auto"/>
              <w:jc w:val="center"/>
              <w:rPr>
                <w:rFonts w:ascii="Times New Roman" w:eastAsia="Times New Roman" w:hAnsi="Times New Roman" w:cs="Times New Roman"/>
                <w:b/>
                <w:sz w:val="20"/>
                <w:szCs w:val="20"/>
                <w:lang w:eastAsia="fr-FR"/>
              </w:rPr>
            </w:pPr>
            <w:r w:rsidRPr="00775CE7">
              <w:rPr>
                <w:rFonts w:ascii="Times New Roman" w:eastAsia="Times New Roman" w:hAnsi="Times New Roman" w:cs="Times New Roman"/>
                <w:b/>
                <w:sz w:val="20"/>
                <w:szCs w:val="20"/>
                <w:lang w:eastAsia="fr-FR"/>
              </w:rPr>
              <w:t>10</w:t>
            </w:r>
          </w:p>
        </w:tc>
        <w:tc>
          <w:tcPr>
            <w:tcW w:w="1185" w:type="dxa"/>
            <w:tcBorders>
              <w:top w:val="nil"/>
              <w:bottom w:val="nil"/>
            </w:tcBorders>
            <w:vAlign w:val="center"/>
          </w:tcPr>
          <w:p w14:paraId="0BDDF346" w14:textId="77777777" w:rsidR="008A19C5" w:rsidRPr="00775CE7" w:rsidRDefault="008A19C5" w:rsidP="008A19C5">
            <w:pPr>
              <w:autoSpaceDE w:val="0"/>
              <w:autoSpaceDN w:val="0"/>
              <w:adjustRightInd w:val="0"/>
              <w:snapToGrid w:val="0"/>
              <w:spacing w:before="60" w:after="0" w:line="240" w:lineRule="auto"/>
              <w:jc w:val="center"/>
              <w:rPr>
                <w:rFonts w:ascii="Times New Roman" w:eastAsia="Times New Roman" w:hAnsi="Times New Roman" w:cs="Times New Roman"/>
                <w:b/>
                <w:color w:val="365F91" w:themeColor="accent1" w:themeShade="BF"/>
                <w:sz w:val="20"/>
                <w:szCs w:val="20"/>
                <w:lang w:eastAsia="fr-FR"/>
              </w:rPr>
            </w:pPr>
            <w:r w:rsidRPr="00775CE7">
              <w:rPr>
                <w:rFonts w:ascii="Times New Roman" w:eastAsia="Times New Roman" w:hAnsi="Times New Roman" w:cs="Times New Roman"/>
                <w:b/>
                <w:color w:val="365F91" w:themeColor="accent1" w:themeShade="BF"/>
                <w:sz w:val="20"/>
                <w:szCs w:val="20"/>
                <w:lang w:eastAsia="fr-FR"/>
              </w:rPr>
              <w:t>2.6-2.0</w:t>
            </w:r>
            <w:r w:rsidRPr="00775CE7">
              <w:rPr>
                <w:rFonts w:ascii="Times New Roman" w:eastAsia="Times New Roman" w:hAnsi="Times New Roman" w:cs="Times New Roman"/>
                <w:b/>
                <w:color w:val="365F91" w:themeColor="accent1" w:themeShade="BF"/>
                <w:sz w:val="20"/>
                <w:szCs w:val="20"/>
                <w:lang w:eastAsia="fr-FR"/>
              </w:rPr>
              <w:br/>
            </w:r>
            <w:r w:rsidRPr="00775CE7">
              <w:rPr>
                <w:rFonts w:ascii="Times New Roman" w:eastAsia="Times New Roman" w:hAnsi="Times New Roman" w:cs="Times New Roman"/>
                <w:b/>
                <w:color w:val="943634" w:themeColor="accent2" w:themeShade="BF"/>
                <w:sz w:val="20"/>
                <w:szCs w:val="20"/>
                <w:lang w:eastAsia="fr-FR"/>
              </w:rPr>
              <w:t>2.5-2.0</w:t>
            </w:r>
            <w:r w:rsidRPr="00775CE7">
              <w:rPr>
                <w:rFonts w:ascii="Times New Roman" w:eastAsia="Times New Roman" w:hAnsi="Times New Roman" w:cs="Times New Roman"/>
                <w:b/>
                <w:color w:val="365F91" w:themeColor="accent1" w:themeShade="BF"/>
                <w:sz w:val="20"/>
                <w:szCs w:val="20"/>
                <w:lang w:eastAsia="fr-FR"/>
              </w:rPr>
              <w:br/>
            </w:r>
            <w:r w:rsidRPr="00775CE7">
              <w:rPr>
                <w:rFonts w:ascii="Times New Roman" w:eastAsia="Times New Roman" w:hAnsi="Times New Roman" w:cs="Times New Roman"/>
                <w:b/>
                <w:color w:val="948A54" w:themeColor="background2" w:themeShade="80"/>
                <w:sz w:val="20"/>
                <w:szCs w:val="20"/>
                <w:lang w:eastAsia="fr-FR"/>
              </w:rPr>
              <w:t>2.5-2.0</w:t>
            </w:r>
          </w:p>
        </w:tc>
        <w:tc>
          <w:tcPr>
            <w:tcW w:w="1185" w:type="dxa"/>
            <w:tcBorders>
              <w:top w:val="nil"/>
              <w:bottom w:val="nil"/>
            </w:tcBorders>
            <w:vAlign w:val="center"/>
          </w:tcPr>
          <w:p w14:paraId="5CCA7428" w14:textId="77777777" w:rsidR="008A19C5" w:rsidRPr="00775CE7" w:rsidRDefault="008A19C5" w:rsidP="008A19C5">
            <w:pPr>
              <w:autoSpaceDE w:val="0"/>
              <w:autoSpaceDN w:val="0"/>
              <w:adjustRightInd w:val="0"/>
              <w:snapToGrid w:val="0"/>
              <w:spacing w:before="60" w:after="0" w:line="240" w:lineRule="auto"/>
              <w:jc w:val="center"/>
              <w:rPr>
                <w:rFonts w:ascii="Times New Roman" w:eastAsia="Times New Roman" w:hAnsi="Times New Roman" w:cs="Times New Roman"/>
                <w:b/>
                <w:color w:val="365F91" w:themeColor="accent1" w:themeShade="BF"/>
                <w:sz w:val="20"/>
                <w:szCs w:val="20"/>
                <w:lang w:eastAsia="fr-FR"/>
              </w:rPr>
            </w:pPr>
            <w:r w:rsidRPr="00775CE7">
              <w:rPr>
                <w:rFonts w:ascii="Times New Roman" w:eastAsia="Times New Roman" w:hAnsi="Times New Roman" w:cs="Times New Roman"/>
                <w:b/>
                <w:color w:val="365F91" w:themeColor="accent1" w:themeShade="BF"/>
                <w:sz w:val="20"/>
                <w:szCs w:val="20"/>
                <w:lang w:eastAsia="fr-FR"/>
              </w:rPr>
              <w:t>8.0-8.9</w:t>
            </w:r>
            <w:r w:rsidRPr="00775CE7">
              <w:rPr>
                <w:rFonts w:ascii="Times New Roman" w:eastAsia="Times New Roman" w:hAnsi="Times New Roman" w:cs="Times New Roman"/>
                <w:b/>
                <w:color w:val="365F91" w:themeColor="accent1" w:themeShade="BF"/>
                <w:sz w:val="20"/>
                <w:szCs w:val="20"/>
                <w:lang w:eastAsia="fr-FR"/>
              </w:rPr>
              <w:br/>
            </w:r>
            <w:r w:rsidRPr="00775CE7">
              <w:rPr>
                <w:rFonts w:ascii="Times New Roman" w:eastAsia="Times New Roman" w:hAnsi="Times New Roman" w:cs="Times New Roman"/>
                <w:b/>
                <w:color w:val="943634" w:themeColor="accent2" w:themeShade="BF"/>
                <w:sz w:val="20"/>
                <w:szCs w:val="20"/>
                <w:lang w:eastAsia="fr-FR"/>
              </w:rPr>
              <w:t>8.1-9.0</w:t>
            </w:r>
            <w:r w:rsidRPr="00775CE7">
              <w:rPr>
                <w:rFonts w:ascii="Times New Roman" w:eastAsia="Times New Roman" w:hAnsi="Times New Roman" w:cs="Times New Roman"/>
                <w:b/>
                <w:color w:val="365F91" w:themeColor="accent1" w:themeShade="BF"/>
                <w:sz w:val="20"/>
                <w:szCs w:val="20"/>
                <w:lang w:eastAsia="fr-FR"/>
              </w:rPr>
              <w:br/>
            </w:r>
            <w:r w:rsidRPr="00775CE7">
              <w:rPr>
                <w:rFonts w:ascii="Times New Roman" w:eastAsia="Times New Roman" w:hAnsi="Times New Roman" w:cs="Times New Roman"/>
                <w:b/>
                <w:color w:val="948A54" w:themeColor="background2" w:themeShade="80"/>
                <w:sz w:val="20"/>
                <w:szCs w:val="20"/>
                <w:lang w:eastAsia="fr-FR"/>
              </w:rPr>
              <w:t>8.4-9.2</w:t>
            </w:r>
          </w:p>
        </w:tc>
        <w:tc>
          <w:tcPr>
            <w:tcW w:w="1185" w:type="dxa"/>
            <w:tcBorders>
              <w:top w:val="nil"/>
              <w:bottom w:val="nil"/>
            </w:tcBorders>
            <w:shd w:val="clear" w:color="auto" w:fill="auto"/>
            <w:vAlign w:val="center"/>
          </w:tcPr>
          <w:p w14:paraId="5DD7176B" w14:textId="77777777" w:rsidR="008A19C5" w:rsidRPr="00775CE7" w:rsidRDefault="008A19C5" w:rsidP="008A19C5">
            <w:pPr>
              <w:autoSpaceDE w:val="0"/>
              <w:autoSpaceDN w:val="0"/>
              <w:adjustRightInd w:val="0"/>
              <w:snapToGrid w:val="0"/>
              <w:spacing w:before="60" w:after="0" w:line="240" w:lineRule="auto"/>
              <w:jc w:val="center"/>
              <w:rPr>
                <w:rFonts w:ascii="Times New Roman" w:eastAsia="Times New Roman" w:hAnsi="Times New Roman" w:cs="Times New Roman"/>
                <w:b/>
                <w:color w:val="365F91" w:themeColor="accent1" w:themeShade="BF"/>
                <w:sz w:val="20"/>
                <w:szCs w:val="20"/>
                <w:lang w:eastAsia="fr-FR"/>
              </w:rPr>
            </w:pPr>
            <w:r w:rsidRPr="00775CE7">
              <w:rPr>
                <w:rFonts w:ascii="Times New Roman" w:eastAsia="Times New Roman" w:hAnsi="Times New Roman" w:cs="Times New Roman"/>
                <w:b/>
                <w:color w:val="365F91" w:themeColor="accent1" w:themeShade="BF"/>
                <w:sz w:val="20"/>
                <w:szCs w:val="20"/>
                <w:lang w:eastAsia="fr-FR"/>
              </w:rPr>
              <w:t>15.0-14.5</w:t>
            </w:r>
            <w:r w:rsidRPr="00775CE7">
              <w:rPr>
                <w:rFonts w:ascii="Times New Roman" w:eastAsia="Times New Roman" w:hAnsi="Times New Roman" w:cs="Times New Roman"/>
                <w:b/>
                <w:color w:val="365F91" w:themeColor="accent1" w:themeShade="BF"/>
                <w:sz w:val="20"/>
                <w:szCs w:val="20"/>
                <w:lang w:eastAsia="fr-FR"/>
              </w:rPr>
              <w:br/>
            </w:r>
            <w:r w:rsidRPr="00775CE7">
              <w:rPr>
                <w:rFonts w:ascii="Times New Roman" w:eastAsia="Times New Roman" w:hAnsi="Times New Roman" w:cs="Times New Roman"/>
                <w:b/>
                <w:color w:val="943634" w:themeColor="accent2" w:themeShade="BF"/>
                <w:sz w:val="20"/>
                <w:szCs w:val="20"/>
                <w:lang w:eastAsia="fr-FR"/>
              </w:rPr>
              <w:t>14.9-14.5</w:t>
            </w:r>
            <w:r w:rsidRPr="00775CE7">
              <w:rPr>
                <w:rFonts w:ascii="Times New Roman" w:eastAsia="Times New Roman" w:hAnsi="Times New Roman" w:cs="Times New Roman"/>
                <w:b/>
                <w:color w:val="365F91" w:themeColor="accent1" w:themeShade="BF"/>
                <w:sz w:val="20"/>
                <w:szCs w:val="20"/>
                <w:lang w:eastAsia="fr-FR"/>
              </w:rPr>
              <w:br/>
            </w:r>
            <w:r w:rsidRPr="00775CE7">
              <w:rPr>
                <w:rFonts w:ascii="Times New Roman" w:eastAsia="Times New Roman" w:hAnsi="Times New Roman" w:cs="Times New Roman"/>
                <w:b/>
                <w:color w:val="948A54" w:themeColor="background2" w:themeShade="80"/>
                <w:sz w:val="20"/>
                <w:szCs w:val="20"/>
                <w:lang w:eastAsia="fr-FR"/>
              </w:rPr>
              <w:t>15.0-14.7</w:t>
            </w:r>
          </w:p>
        </w:tc>
        <w:tc>
          <w:tcPr>
            <w:tcW w:w="1185" w:type="dxa"/>
            <w:tcBorders>
              <w:top w:val="nil"/>
              <w:bottom w:val="nil"/>
            </w:tcBorders>
            <w:shd w:val="clear" w:color="auto" w:fill="auto"/>
            <w:vAlign w:val="center"/>
          </w:tcPr>
          <w:p w14:paraId="1FAA4B80" w14:textId="77777777" w:rsidR="008A19C5" w:rsidRPr="00775CE7" w:rsidRDefault="008A19C5" w:rsidP="008A19C5">
            <w:pPr>
              <w:autoSpaceDE w:val="0"/>
              <w:autoSpaceDN w:val="0"/>
              <w:adjustRightInd w:val="0"/>
              <w:snapToGrid w:val="0"/>
              <w:spacing w:before="60" w:after="0" w:line="240" w:lineRule="auto"/>
              <w:jc w:val="center"/>
              <w:rPr>
                <w:rFonts w:ascii="Times New Roman" w:eastAsia="Times New Roman" w:hAnsi="Times New Roman" w:cs="Times New Roman"/>
                <w:b/>
                <w:color w:val="365F91" w:themeColor="accent1" w:themeShade="BF"/>
                <w:sz w:val="20"/>
                <w:szCs w:val="20"/>
                <w:lang w:eastAsia="fr-FR"/>
              </w:rPr>
            </w:pPr>
            <w:r w:rsidRPr="00775CE7">
              <w:rPr>
                <w:rFonts w:ascii="Times New Roman" w:eastAsia="Times New Roman" w:hAnsi="Times New Roman" w:cs="Times New Roman"/>
                <w:b/>
                <w:color w:val="365F91" w:themeColor="accent1" w:themeShade="BF"/>
                <w:sz w:val="20"/>
                <w:szCs w:val="20"/>
                <w:lang w:eastAsia="fr-FR"/>
              </w:rPr>
              <w:t>7.2-8.5</w:t>
            </w:r>
            <w:r w:rsidRPr="00775CE7">
              <w:rPr>
                <w:rFonts w:ascii="Times New Roman" w:eastAsia="Times New Roman" w:hAnsi="Times New Roman" w:cs="Times New Roman"/>
                <w:b/>
                <w:color w:val="365F91" w:themeColor="accent1" w:themeShade="BF"/>
                <w:sz w:val="20"/>
                <w:szCs w:val="20"/>
                <w:lang w:eastAsia="fr-FR"/>
              </w:rPr>
              <w:br/>
            </w:r>
            <w:r w:rsidRPr="00775CE7">
              <w:rPr>
                <w:rFonts w:ascii="Times New Roman" w:eastAsia="Times New Roman" w:hAnsi="Times New Roman" w:cs="Times New Roman"/>
                <w:b/>
                <w:color w:val="943634" w:themeColor="accent2" w:themeShade="BF"/>
                <w:sz w:val="20"/>
                <w:szCs w:val="20"/>
                <w:lang w:eastAsia="fr-FR"/>
              </w:rPr>
              <w:t>7.3-8.6</w:t>
            </w:r>
            <w:r w:rsidRPr="00775CE7">
              <w:rPr>
                <w:rFonts w:ascii="Times New Roman" w:eastAsia="Times New Roman" w:hAnsi="Times New Roman" w:cs="Times New Roman"/>
                <w:b/>
                <w:color w:val="365F91" w:themeColor="accent1" w:themeShade="BF"/>
                <w:sz w:val="20"/>
                <w:szCs w:val="20"/>
                <w:lang w:eastAsia="fr-FR"/>
              </w:rPr>
              <w:br/>
            </w:r>
            <w:r w:rsidRPr="00775CE7">
              <w:rPr>
                <w:rFonts w:ascii="Times New Roman" w:eastAsia="Times New Roman" w:hAnsi="Times New Roman" w:cs="Times New Roman"/>
                <w:b/>
                <w:color w:val="948A54" w:themeColor="background2" w:themeShade="80"/>
                <w:sz w:val="20"/>
                <w:szCs w:val="20"/>
                <w:lang w:eastAsia="fr-FR"/>
              </w:rPr>
              <w:t>7.8-8.8</w:t>
            </w:r>
          </w:p>
        </w:tc>
        <w:tc>
          <w:tcPr>
            <w:tcW w:w="1184" w:type="dxa"/>
            <w:tcBorders>
              <w:top w:val="nil"/>
              <w:bottom w:val="nil"/>
            </w:tcBorders>
            <w:shd w:val="clear" w:color="auto" w:fill="auto"/>
            <w:noWrap/>
            <w:vAlign w:val="center"/>
          </w:tcPr>
          <w:p w14:paraId="631F28FE" w14:textId="77777777" w:rsidR="008A19C5" w:rsidRPr="00775CE7" w:rsidRDefault="008A19C5" w:rsidP="008A19C5">
            <w:pPr>
              <w:autoSpaceDE w:val="0"/>
              <w:autoSpaceDN w:val="0"/>
              <w:adjustRightInd w:val="0"/>
              <w:snapToGrid w:val="0"/>
              <w:spacing w:before="60" w:after="0" w:line="240" w:lineRule="auto"/>
              <w:jc w:val="center"/>
              <w:rPr>
                <w:rFonts w:ascii="Times New Roman" w:eastAsia="Times New Roman" w:hAnsi="Times New Roman" w:cs="Times New Roman"/>
                <w:b/>
                <w:color w:val="365F91" w:themeColor="accent1" w:themeShade="BF"/>
                <w:sz w:val="20"/>
                <w:szCs w:val="20"/>
                <w:lang w:eastAsia="fr-FR"/>
              </w:rPr>
            </w:pPr>
            <w:r w:rsidRPr="00775CE7">
              <w:rPr>
                <w:rFonts w:ascii="Times New Roman" w:eastAsia="Times New Roman" w:hAnsi="Times New Roman" w:cs="Times New Roman"/>
                <w:b/>
                <w:color w:val="365F91" w:themeColor="accent1" w:themeShade="BF"/>
                <w:sz w:val="20"/>
                <w:szCs w:val="20"/>
                <w:lang w:eastAsia="fr-FR"/>
              </w:rPr>
              <w:t>28.5-28.3</w:t>
            </w:r>
            <w:r w:rsidRPr="00775CE7">
              <w:rPr>
                <w:rFonts w:ascii="Times New Roman" w:eastAsia="Times New Roman" w:hAnsi="Times New Roman" w:cs="Times New Roman"/>
                <w:b/>
                <w:color w:val="365F91" w:themeColor="accent1" w:themeShade="BF"/>
                <w:sz w:val="20"/>
                <w:szCs w:val="20"/>
                <w:lang w:eastAsia="fr-FR"/>
              </w:rPr>
              <w:br/>
            </w:r>
            <w:r w:rsidRPr="00775CE7">
              <w:rPr>
                <w:rFonts w:ascii="Times New Roman" w:eastAsia="Times New Roman" w:hAnsi="Times New Roman" w:cs="Times New Roman"/>
                <w:b/>
                <w:color w:val="943634" w:themeColor="accent2" w:themeShade="BF"/>
                <w:sz w:val="20"/>
                <w:szCs w:val="20"/>
                <w:lang w:eastAsia="fr-FR"/>
              </w:rPr>
              <w:t>28.6-28.4</w:t>
            </w:r>
            <w:r w:rsidRPr="00775CE7">
              <w:rPr>
                <w:rFonts w:ascii="Times New Roman" w:eastAsia="Times New Roman" w:hAnsi="Times New Roman" w:cs="Times New Roman"/>
                <w:b/>
                <w:color w:val="365F91" w:themeColor="accent1" w:themeShade="BF"/>
                <w:sz w:val="20"/>
                <w:szCs w:val="20"/>
                <w:lang w:eastAsia="fr-FR"/>
              </w:rPr>
              <w:br/>
            </w:r>
            <w:r w:rsidRPr="00775CE7">
              <w:rPr>
                <w:rFonts w:ascii="Times New Roman" w:eastAsia="Times New Roman" w:hAnsi="Times New Roman" w:cs="Times New Roman"/>
                <w:b/>
                <w:color w:val="948A54" w:themeColor="background2" w:themeShade="80"/>
                <w:sz w:val="20"/>
                <w:szCs w:val="20"/>
                <w:lang w:eastAsia="fr-FR"/>
              </w:rPr>
              <w:t>28.9-28.8</w:t>
            </w:r>
          </w:p>
        </w:tc>
        <w:tc>
          <w:tcPr>
            <w:tcW w:w="1185" w:type="dxa"/>
            <w:tcBorders>
              <w:top w:val="nil"/>
              <w:bottom w:val="nil"/>
            </w:tcBorders>
            <w:shd w:val="clear" w:color="auto" w:fill="auto"/>
            <w:vAlign w:val="center"/>
          </w:tcPr>
          <w:p w14:paraId="3D747AA8" w14:textId="77777777" w:rsidR="008A19C5" w:rsidRPr="00775CE7" w:rsidRDefault="008A19C5" w:rsidP="008A19C5">
            <w:pPr>
              <w:autoSpaceDE w:val="0"/>
              <w:autoSpaceDN w:val="0"/>
              <w:adjustRightInd w:val="0"/>
              <w:snapToGrid w:val="0"/>
              <w:spacing w:before="60" w:after="0" w:line="240" w:lineRule="auto"/>
              <w:jc w:val="center"/>
              <w:rPr>
                <w:rFonts w:ascii="Times New Roman" w:eastAsia="Times New Roman" w:hAnsi="Times New Roman" w:cs="Times New Roman"/>
                <w:b/>
                <w:color w:val="365F91" w:themeColor="accent1" w:themeShade="BF"/>
                <w:sz w:val="20"/>
                <w:szCs w:val="20"/>
                <w:lang w:eastAsia="fr-FR"/>
              </w:rPr>
            </w:pPr>
            <w:r w:rsidRPr="00775CE7">
              <w:rPr>
                <w:rFonts w:ascii="Times New Roman" w:eastAsia="Times New Roman" w:hAnsi="Times New Roman" w:cs="Times New Roman"/>
                <w:b/>
                <w:color w:val="365F91" w:themeColor="accent1" w:themeShade="BF"/>
                <w:sz w:val="20"/>
                <w:szCs w:val="20"/>
                <w:lang w:eastAsia="fr-FR"/>
              </w:rPr>
              <w:t>6.4-8.0</w:t>
            </w:r>
            <w:r w:rsidRPr="00775CE7">
              <w:rPr>
                <w:rFonts w:ascii="Times New Roman" w:eastAsia="Times New Roman" w:hAnsi="Times New Roman" w:cs="Times New Roman"/>
                <w:b/>
                <w:color w:val="365F91" w:themeColor="accent1" w:themeShade="BF"/>
                <w:sz w:val="20"/>
                <w:szCs w:val="20"/>
                <w:lang w:eastAsia="fr-FR"/>
              </w:rPr>
              <w:br/>
            </w:r>
            <w:r w:rsidRPr="00775CE7">
              <w:rPr>
                <w:rFonts w:ascii="Times New Roman" w:eastAsia="Times New Roman" w:hAnsi="Times New Roman" w:cs="Times New Roman"/>
                <w:b/>
                <w:color w:val="943634" w:themeColor="accent2" w:themeShade="BF"/>
                <w:sz w:val="20"/>
                <w:szCs w:val="20"/>
                <w:lang w:eastAsia="fr-FR"/>
              </w:rPr>
              <w:t>6.5-8.1</w:t>
            </w:r>
            <w:r w:rsidRPr="00775CE7">
              <w:rPr>
                <w:rFonts w:ascii="Times New Roman" w:eastAsia="Times New Roman" w:hAnsi="Times New Roman" w:cs="Times New Roman"/>
                <w:b/>
                <w:color w:val="365F91" w:themeColor="accent1" w:themeShade="BF"/>
                <w:sz w:val="20"/>
                <w:szCs w:val="20"/>
                <w:lang w:eastAsia="fr-FR"/>
              </w:rPr>
              <w:br/>
            </w:r>
            <w:r w:rsidRPr="00775CE7">
              <w:rPr>
                <w:rFonts w:ascii="Times New Roman" w:eastAsia="Times New Roman" w:hAnsi="Times New Roman" w:cs="Times New Roman"/>
                <w:b/>
                <w:color w:val="948A54" w:themeColor="background2" w:themeShade="80"/>
                <w:sz w:val="20"/>
                <w:szCs w:val="20"/>
                <w:lang w:eastAsia="fr-FR"/>
              </w:rPr>
              <w:t>7.1-8.4</w:t>
            </w:r>
          </w:p>
        </w:tc>
        <w:tc>
          <w:tcPr>
            <w:tcW w:w="1184" w:type="dxa"/>
            <w:tcBorders>
              <w:top w:val="nil"/>
              <w:bottom w:val="nil"/>
            </w:tcBorders>
            <w:shd w:val="clear" w:color="auto" w:fill="auto"/>
            <w:vAlign w:val="center"/>
          </w:tcPr>
          <w:p w14:paraId="38924577" w14:textId="77777777" w:rsidR="008A19C5" w:rsidRPr="00775CE7" w:rsidRDefault="008A19C5" w:rsidP="008A19C5">
            <w:pPr>
              <w:autoSpaceDE w:val="0"/>
              <w:autoSpaceDN w:val="0"/>
              <w:adjustRightInd w:val="0"/>
              <w:snapToGrid w:val="0"/>
              <w:spacing w:before="60" w:after="0" w:line="240" w:lineRule="auto"/>
              <w:jc w:val="center"/>
              <w:rPr>
                <w:rFonts w:ascii="Times New Roman" w:eastAsia="Times New Roman" w:hAnsi="Times New Roman" w:cs="Times New Roman"/>
                <w:b/>
                <w:color w:val="365F91" w:themeColor="accent1" w:themeShade="BF"/>
                <w:sz w:val="20"/>
                <w:szCs w:val="20"/>
                <w:lang w:eastAsia="fr-FR"/>
              </w:rPr>
            </w:pPr>
            <w:r w:rsidRPr="00775CE7">
              <w:rPr>
                <w:rFonts w:ascii="Times New Roman" w:eastAsia="Times New Roman" w:hAnsi="Times New Roman" w:cs="Times New Roman"/>
                <w:b/>
                <w:color w:val="365F91" w:themeColor="accent1" w:themeShade="BF"/>
                <w:sz w:val="20"/>
                <w:szCs w:val="20"/>
                <w:lang w:eastAsia="fr-FR"/>
              </w:rPr>
              <w:t>43.2-43.9</w:t>
            </w:r>
            <w:r w:rsidRPr="00775CE7">
              <w:rPr>
                <w:rFonts w:ascii="Times New Roman" w:eastAsia="Times New Roman" w:hAnsi="Times New Roman" w:cs="Times New Roman"/>
                <w:b/>
                <w:color w:val="365F91" w:themeColor="accent1" w:themeShade="BF"/>
                <w:sz w:val="20"/>
                <w:szCs w:val="20"/>
                <w:lang w:eastAsia="fr-FR"/>
              </w:rPr>
              <w:br/>
            </w:r>
            <w:r w:rsidRPr="00775CE7">
              <w:rPr>
                <w:rFonts w:ascii="Times New Roman" w:eastAsia="Times New Roman" w:hAnsi="Times New Roman" w:cs="Times New Roman"/>
                <w:b/>
                <w:color w:val="943634" w:themeColor="accent2" w:themeShade="BF"/>
                <w:sz w:val="20"/>
                <w:szCs w:val="20"/>
                <w:lang w:eastAsia="fr-FR"/>
              </w:rPr>
              <w:t>43.4-44.0</w:t>
            </w:r>
            <w:r w:rsidRPr="00775CE7">
              <w:rPr>
                <w:rFonts w:ascii="Times New Roman" w:eastAsia="Times New Roman" w:hAnsi="Times New Roman" w:cs="Times New Roman"/>
                <w:b/>
                <w:color w:val="365F91" w:themeColor="accent1" w:themeShade="BF"/>
                <w:sz w:val="20"/>
                <w:szCs w:val="20"/>
                <w:lang w:eastAsia="fr-FR"/>
              </w:rPr>
              <w:br/>
            </w:r>
            <w:r w:rsidRPr="00775CE7">
              <w:rPr>
                <w:rFonts w:ascii="Times New Roman" w:eastAsia="Times New Roman" w:hAnsi="Times New Roman" w:cs="Times New Roman"/>
                <w:b/>
                <w:color w:val="948A54" w:themeColor="background2" w:themeShade="80"/>
                <w:sz w:val="20"/>
                <w:szCs w:val="20"/>
                <w:lang w:eastAsia="fr-FR"/>
              </w:rPr>
              <w:t>44.0-44.6</w:t>
            </w:r>
          </w:p>
        </w:tc>
        <w:tc>
          <w:tcPr>
            <w:tcW w:w="1185" w:type="dxa"/>
            <w:tcBorders>
              <w:top w:val="nil"/>
              <w:bottom w:val="nil"/>
            </w:tcBorders>
            <w:shd w:val="clear" w:color="auto" w:fill="auto"/>
            <w:vAlign w:val="center"/>
          </w:tcPr>
          <w:p w14:paraId="5E7FB62D" w14:textId="77777777" w:rsidR="008A19C5" w:rsidRPr="00775CE7" w:rsidRDefault="008A19C5" w:rsidP="008A19C5">
            <w:pPr>
              <w:autoSpaceDE w:val="0"/>
              <w:autoSpaceDN w:val="0"/>
              <w:adjustRightInd w:val="0"/>
              <w:snapToGrid w:val="0"/>
              <w:spacing w:before="60" w:after="0" w:line="240" w:lineRule="auto"/>
              <w:jc w:val="center"/>
              <w:rPr>
                <w:rFonts w:ascii="Times New Roman" w:eastAsia="Times New Roman" w:hAnsi="Times New Roman" w:cs="Times New Roman"/>
                <w:b/>
                <w:color w:val="365F91" w:themeColor="accent1" w:themeShade="BF"/>
                <w:sz w:val="20"/>
                <w:szCs w:val="20"/>
                <w:lang w:eastAsia="fr-FR"/>
              </w:rPr>
            </w:pPr>
            <w:r w:rsidRPr="00775CE7">
              <w:rPr>
                <w:rFonts w:ascii="Times New Roman" w:eastAsia="Times New Roman" w:hAnsi="Times New Roman" w:cs="Times New Roman"/>
                <w:b/>
                <w:color w:val="365F91" w:themeColor="accent1" w:themeShade="BF"/>
                <w:sz w:val="20"/>
                <w:szCs w:val="20"/>
                <w:lang w:eastAsia="fr-FR"/>
              </w:rPr>
              <w:t>5.6-7.4</w:t>
            </w:r>
            <w:r w:rsidRPr="00775CE7">
              <w:rPr>
                <w:rFonts w:ascii="Times New Roman" w:eastAsia="Times New Roman" w:hAnsi="Times New Roman" w:cs="Times New Roman"/>
                <w:b/>
                <w:color w:val="365F91" w:themeColor="accent1" w:themeShade="BF"/>
                <w:sz w:val="20"/>
                <w:szCs w:val="20"/>
                <w:lang w:eastAsia="fr-FR"/>
              </w:rPr>
              <w:br/>
            </w:r>
            <w:r w:rsidRPr="00775CE7">
              <w:rPr>
                <w:rFonts w:ascii="Times New Roman" w:eastAsia="Times New Roman" w:hAnsi="Times New Roman" w:cs="Times New Roman"/>
                <w:b/>
                <w:color w:val="943634" w:themeColor="accent2" w:themeShade="BF"/>
                <w:sz w:val="20"/>
                <w:szCs w:val="20"/>
                <w:lang w:eastAsia="fr-FR"/>
              </w:rPr>
              <w:t>5.8-7.5</w:t>
            </w:r>
            <w:r w:rsidRPr="00775CE7">
              <w:rPr>
                <w:rFonts w:ascii="Times New Roman" w:eastAsia="Times New Roman" w:hAnsi="Times New Roman" w:cs="Times New Roman"/>
                <w:b/>
                <w:color w:val="365F91" w:themeColor="accent1" w:themeShade="BF"/>
                <w:sz w:val="20"/>
                <w:szCs w:val="20"/>
                <w:lang w:eastAsia="fr-FR"/>
              </w:rPr>
              <w:br/>
            </w:r>
            <w:r w:rsidRPr="00775CE7">
              <w:rPr>
                <w:rFonts w:ascii="Times New Roman" w:eastAsia="Times New Roman" w:hAnsi="Times New Roman" w:cs="Times New Roman"/>
                <w:b/>
                <w:color w:val="948A54" w:themeColor="background2" w:themeShade="80"/>
                <w:sz w:val="20"/>
                <w:szCs w:val="20"/>
                <w:lang w:eastAsia="fr-FR"/>
              </w:rPr>
              <w:t>6.5-8.0</w:t>
            </w:r>
          </w:p>
        </w:tc>
      </w:tr>
      <w:tr w:rsidR="008A19C5" w:rsidRPr="00775CE7" w14:paraId="47959873" w14:textId="77777777" w:rsidTr="008A19C5">
        <w:trPr>
          <w:trHeight w:val="567"/>
        </w:trPr>
        <w:tc>
          <w:tcPr>
            <w:tcW w:w="1183" w:type="dxa"/>
            <w:tcBorders>
              <w:top w:val="nil"/>
              <w:bottom w:val="nil"/>
            </w:tcBorders>
            <w:shd w:val="clear" w:color="auto" w:fill="auto"/>
            <w:vAlign w:val="center"/>
          </w:tcPr>
          <w:p w14:paraId="240F0B71" w14:textId="77777777" w:rsidR="008A19C5" w:rsidRPr="00775CE7" w:rsidRDefault="008A19C5" w:rsidP="008A19C5">
            <w:pPr>
              <w:autoSpaceDE w:val="0"/>
              <w:autoSpaceDN w:val="0"/>
              <w:adjustRightInd w:val="0"/>
              <w:snapToGrid w:val="0"/>
              <w:spacing w:before="60" w:after="0" w:line="240" w:lineRule="auto"/>
              <w:jc w:val="center"/>
              <w:rPr>
                <w:rFonts w:ascii="Times New Roman" w:eastAsia="Times New Roman" w:hAnsi="Times New Roman" w:cs="Times New Roman"/>
                <w:b/>
                <w:sz w:val="20"/>
                <w:szCs w:val="20"/>
                <w:lang w:eastAsia="fr-FR"/>
              </w:rPr>
            </w:pPr>
            <w:r w:rsidRPr="00775CE7">
              <w:rPr>
                <w:rFonts w:ascii="Times New Roman" w:eastAsia="Times New Roman" w:hAnsi="Times New Roman" w:cs="Times New Roman"/>
                <w:b/>
                <w:sz w:val="20"/>
                <w:szCs w:val="20"/>
                <w:lang w:eastAsia="fr-FR"/>
              </w:rPr>
              <w:t>15</w:t>
            </w:r>
          </w:p>
        </w:tc>
        <w:tc>
          <w:tcPr>
            <w:tcW w:w="1185" w:type="dxa"/>
            <w:tcBorders>
              <w:top w:val="nil"/>
              <w:bottom w:val="nil"/>
            </w:tcBorders>
            <w:vAlign w:val="center"/>
          </w:tcPr>
          <w:p w14:paraId="7036B12F" w14:textId="77777777" w:rsidR="008A19C5" w:rsidRPr="00775CE7" w:rsidRDefault="008A19C5" w:rsidP="008A19C5">
            <w:pPr>
              <w:autoSpaceDE w:val="0"/>
              <w:autoSpaceDN w:val="0"/>
              <w:adjustRightInd w:val="0"/>
              <w:snapToGrid w:val="0"/>
              <w:spacing w:before="60" w:after="0" w:line="240" w:lineRule="auto"/>
              <w:jc w:val="center"/>
              <w:rPr>
                <w:rFonts w:ascii="Times New Roman" w:eastAsia="Times New Roman" w:hAnsi="Times New Roman" w:cs="Times New Roman"/>
                <w:b/>
                <w:sz w:val="20"/>
                <w:szCs w:val="20"/>
                <w:lang w:eastAsia="fr-FR"/>
              </w:rPr>
            </w:pPr>
            <w:r w:rsidRPr="00775CE7">
              <w:rPr>
                <w:rFonts w:ascii="Times New Roman" w:eastAsia="Times New Roman" w:hAnsi="Times New Roman" w:cs="Times New Roman"/>
                <w:b/>
                <w:color w:val="365F91" w:themeColor="accent1" w:themeShade="BF"/>
                <w:sz w:val="20"/>
                <w:szCs w:val="20"/>
                <w:lang w:eastAsia="fr-FR"/>
              </w:rPr>
              <w:t>-0.1--1.9</w:t>
            </w:r>
            <w:r w:rsidRPr="00775CE7">
              <w:rPr>
                <w:rFonts w:ascii="Times New Roman" w:eastAsia="Times New Roman" w:hAnsi="Times New Roman" w:cs="Times New Roman"/>
                <w:b/>
                <w:color w:val="365F91" w:themeColor="accent1" w:themeShade="BF"/>
                <w:sz w:val="20"/>
                <w:szCs w:val="20"/>
                <w:lang w:eastAsia="fr-FR"/>
              </w:rPr>
              <w:br/>
            </w:r>
            <w:r w:rsidRPr="00775CE7">
              <w:rPr>
                <w:rFonts w:ascii="Times New Roman" w:eastAsia="Times New Roman" w:hAnsi="Times New Roman" w:cs="Times New Roman"/>
                <w:b/>
                <w:color w:val="943634" w:themeColor="accent2" w:themeShade="BF"/>
                <w:sz w:val="20"/>
                <w:szCs w:val="20"/>
                <w:lang w:eastAsia="fr-FR"/>
              </w:rPr>
              <w:t>-0.3--1.9</w:t>
            </w:r>
            <w:r w:rsidRPr="00775CE7">
              <w:rPr>
                <w:rFonts w:ascii="Times New Roman" w:eastAsia="Times New Roman" w:hAnsi="Times New Roman" w:cs="Times New Roman"/>
                <w:b/>
                <w:color w:val="943634" w:themeColor="accent2" w:themeShade="BF"/>
                <w:sz w:val="20"/>
                <w:szCs w:val="20"/>
                <w:lang w:eastAsia="fr-FR"/>
              </w:rPr>
              <w:br/>
            </w:r>
            <w:r w:rsidRPr="00775CE7">
              <w:rPr>
                <w:rFonts w:ascii="Times New Roman" w:eastAsia="Times New Roman" w:hAnsi="Times New Roman" w:cs="Times New Roman"/>
                <w:b/>
                <w:color w:val="948A54" w:themeColor="background2" w:themeShade="80"/>
                <w:sz w:val="20"/>
                <w:szCs w:val="20"/>
                <w:lang w:eastAsia="fr-FR"/>
              </w:rPr>
              <w:t>-0.8--2.2</w:t>
            </w:r>
          </w:p>
        </w:tc>
        <w:tc>
          <w:tcPr>
            <w:tcW w:w="1185" w:type="dxa"/>
            <w:tcBorders>
              <w:top w:val="nil"/>
              <w:bottom w:val="nil"/>
            </w:tcBorders>
            <w:vAlign w:val="center"/>
          </w:tcPr>
          <w:p w14:paraId="7D384EAF" w14:textId="77777777" w:rsidR="008A19C5" w:rsidRPr="00775CE7" w:rsidRDefault="008A19C5" w:rsidP="008A19C5">
            <w:pPr>
              <w:autoSpaceDE w:val="0"/>
              <w:autoSpaceDN w:val="0"/>
              <w:adjustRightInd w:val="0"/>
              <w:snapToGrid w:val="0"/>
              <w:spacing w:before="60" w:after="0" w:line="240" w:lineRule="auto"/>
              <w:jc w:val="center"/>
              <w:rPr>
                <w:rFonts w:ascii="Times New Roman" w:eastAsia="Times New Roman" w:hAnsi="Times New Roman" w:cs="Times New Roman"/>
                <w:b/>
                <w:sz w:val="20"/>
                <w:szCs w:val="20"/>
                <w:lang w:eastAsia="fr-FR"/>
              </w:rPr>
            </w:pPr>
            <w:r w:rsidRPr="00775CE7">
              <w:rPr>
                <w:rFonts w:ascii="Times New Roman" w:eastAsia="Times New Roman" w:hAnsi="Times New Roman" w:cs="Times New Roman"/>
                <w:b/>
                <w:color w:val="365F91" w:themeColor="accent1" w:themeShade="BF"/>
                <w:sz w:val="20"/>
                <w:szCs w:val="20"/>
                <w:lang w:eastAsia="fr-FR"/>
              </w:rPr>
              <w:t>10.4-12.4</w:t>
            </w:r>
            <w:r w:rsidRPr="00775CE7">
              <w:rPr>
                <w:rFonts w:ascii="Times New Roman" w:eastAsia="Times New Roman" w:hAnsi="Times New Roman" w:cs="Times New Roman"/>
                <w:b/>
                <w:color w:val="365F91" w:themeColor="accent1" w:themeShade="BF"/>
                <w:sz w:val="20"/>
                <w:szCs w:val="20"/>
                <w:lang w:eastAsia="fr-FR"/>
              </w:rPr>
              <w:br/>
            </w:r>
            <w:r w:rsidRPr="00775CE7">
              <w:rPr>
                <w:rFonts w:ascii="Times New Roman" w:eastAsia="Times New Roman" w:hAnsi="Times New Roman" w:cs="Times New Roman"/>
                <w:b/>
                <w:color w:val="943634" w:themeColor="accent2" w:themeShade="BF"/>
                <w:sz w:val="20"/>
                <w:szCs w:val="20"/>
                <w:lang w:eastAsia="fr-FR"/>
              </w:rPr>
              <w:t>10.6-12.4</w:t>
            </w:r>
            <w:r w:rsidRPr="00775CE7">
              <w:rPr>
                <w:rFonts w:ascii="Times New Roman" w:eastAsia="Times New Roman" w:hAnsi="Times New Roman" w:cs="Times New Roman"/>
                <w:b/>
                <w:color w:val="943634" w:themeColor="accent2" w:themeShade="BF"/>
                <w:sz w:val="20"/>
                <w:szCs w:val="20"/>
                <w:lang w:eastAsia="fr-FR"/>
              </w:rPr>
              <w:br/>
            </w:r>
            <w:r w:rsidRPr="00775CE7">
              <w:rPr>
                <w:rFonts w:ascii="Times New Roman" w:eastAsia="Times New Roman" w:hAnsi="Times New Roman" w:cs="Times New Roman"/>
                <w:b/>
                <w:color w:val="948A54" w:themeColor="background2" w:themeShade="80"/>
                <w:sz w:val="20"/>
                <w:szCs w:val="20"/>
                <w:lang w:eastAsia="fr-FR"/>
              </w:rPr>
              <w:t>11.3-12.9</w:t>
            </w:r>
          </w:p>
        </w:tc>
        <w:tc>
          <w:tcPr>
            <w:tcW w:w="1185" w:type="dxa"/>
            <w:tcBorders>
              <w:top w:val="nil"/>
              <w:bottom w:val="nil"/>
            </w:tcBorders>
            <w:shd w:val="clear" w:color="auto" w:fill="auto"/>
            <w:vAlign w:val="center"/>
          </w:tcPr>
          <w:p w14:paraId="742F7E17" w14:textId="77777777" w:rsidR="008A19C5" w:rsidRPr="00775CE7" w:rsidRDefault="008A19C5" w:rsidP="008A19C5">
            <w:pPr>
              <w:autoSpaceDE w:val="0"/>
              <w:autoSpaceDN w:val="0"/>
              <w:adjustRightInd w:val="0"/>
              <w:snapToGrid w:val="0"/>
              <w:spacing w:before="60" w:after="0" w:line="240" w:lineRule="auto"/>
              <w:jc w:val="center"/>
              <w:rPr>
                <w:rFonts w:ascii="Times New Roman" w:eastAsia="Times New Roman" w:hAnsi="Times New Roman" w:cs="Times New Roman"/>
                <w:b/>
                <w:sz w:val="20"/>
                <w:szCs w:val="20"/>
                <w:lang w:eastAsia="fr-FR"/>
              </w:rPr>
            </w:pPr>
            <w:r w:rsidRPr="00775CE7">
              <w:rPr>
                <w:rFonts w:ascii="Times New Roman" w:eastAsia="Times New Roman" w:hAnsi="Times New Roman" w:cs="Times New Roman"/>
                <w:b/>
                <w:color w:val="365F91" w:themeColor="accent1" w:themeShade="BF"/>
                <w:sz w:val="20"/>
                <w:szCs w:val="20"/>
                <w:lang w:eastAsia="fr-FR"/>
              </w:rPr>
              <w:t>12.4-10.7</w:t>
            </w:r>
            <w:r w:rsidRPr="00775CE7">
              <w:rPr>
                <w:rFonts w:ascii="Times New Roman" w:eastAsia="Times New Roman" w:hAnsi="Times New Roman" w:cs="Times New Roman"/>
                <w:b/>
                <w:sz w:val="20"/>
                <w:szCs w:val="20"/>
                <w:lang w:eastAsia="fr-FR"/>
              </w:rPr>
              <w:br/>
            </w:r>
            <w:r w:rsidRPr="00775CE7">
              <w:rPr>
                <w:rFonts w:ascii="Times New Roman" w:eastAsia="Times New Roman" w:hAnsi="Times New Roman" w:cs="Times New Roman"/>
                <w:b/>
                <w:color w:val="943634" w:themeColor="accent2" w:themeShade="BF"/>
                <w:sz w:val="20"/>
                <w:szCs w:val="20"/>
                <w:lang w:eastAsia="fr-FR"/>
              </w:rPr>
              <w:t>12.3-10.7</w:t>
            </w:r>
            <w:r w:rsidRPr="00775CE7">
              <w:rPr>
                <w:rFonts w:ascii="Times New Roman" w:eastAsia="Times New Roman" w:hAnsi="Times New Roman" w:cs="Times New Roman"/>
                <w:b/>
                <w:color w:val="943634" w:themeColor="accent2" w:themeShade="BF"/>
                <w:sz w:val="20"/>
                <w:szCs w:val="20"/>
                <w:lang w:eastAsia="fr-FR"/>
              </w:rPr>
              <w:br/>
            </w:r>
            <w:r w:rsidRPr="00775CE7">
              <w:rPr>
                <w:rFonts w:ascii="Times New Roman" w:eastAsia="Times New Roman" w:hAnsi="Times New Roman" w:cs="Times New Roman"/>
                <w:b/>
                <w:color w:val="948A54" w:themeColor="background2" w:themeShade="80"/>
                <w:sz w:val="20"/>
                <w:szCs w:val="20"/>
                <w:lang w:eastAsia="fr-FR"/>
              </w:rPr>
              <w:t>11.7-10.4</w:t>
            </w:r>
          </w:p>
        </w:tc>
        <w:tc>
          <w:tcPr>
            <w:tcW w:w="1185" w:type="dxa"/>
            <w:tcBorders>
              <w:top w:val="nil"/>
              <w:bottom w:val="nil"/>
            </w:tcBorders>
            <w:shd w:val="clear" w:color="auto" w:fill="auto"/>
            <w:vAlign w:val="center"/>
          </w:tcPr>
          <w:p w14:paraId="5D05358F" w14:textId="77777777" w:rsidR="008A19C5" w:rsidRPr="00775CE7" w:rsidRDefault="008A19C5" w:rsidP="008A19C5">
            <w:pPr>
              <w:autoSpaceDE w:val="0"/>
              <w:autoSpaceDN w:val="0"/>
              <w:adjustRightInd w:val="0"/>
              <w:snapToGrid w:val="0"/>
              <w:spacing w:before="60" w:after="0" w:line="240" w:lineRule="auto"/>
              <w:jc w:val="center"/>
              <w:rPr>
                <w:rFonts w:ascii="Times New Roman" w:eastAsia="Times New Roman" w:hAnsi="Times New Roman" w:cs="Times New Roman"/>
                <w:b/>
                <w:sz w:val="20"/>
                <w:szCs w:val="20"/>
                <w:lang w:eastAsia="fr-FR"/>
              </w:rPr>
            </w:pPr>
            <w:r w:rsidRPr="00775CE7">
              <w:rPr>
                <w:rFonts w:ascii="Times New Roman" w:eastAsia="Times New Roman" w:hAnsi="Times New Roman" w:cs="Times New Roman"/>
                <w:b/>
                <w:color w:val="365F91" w:themeColor="accent1" w:themeShade="BF"/>
                <w:sz w:val="20"/>
                <w:szCs w:val="20"/>
                <w:lang w:eastAsia="fr-FR"/>
              </w:rPr>
              <w:t>9.3-11.5</w:t>
            </w:r>
            <w:r w:rsidRPr="00775CE7">
              <w:rPr>
                <w:rFonts w:ascii="Times New Roman" w:eastAsia="Times New Roman" w:hAnsi="Times New Roman" w:cs="Times New Roman"/>
                <w:b/>
                <w:sz w:val="20"/>
                <w:szCs w:val="20"/>
                <w:lang w:eastAsia="fr-FR"/>
              </w:rPr>
              <w:br/>
            </w:r>
            <w:r w:rsidRPr="00775CE7">
              <w:rPr>
                <w:rFonts w:ascii="Times New Roman" w:eastAsia="Times New Roman" w:hAnsi="Times New Roman" w:cs="Times New Roman"/>
                <w:b/>
                <w:color w:val="943634" w:themeColor="accent2" w:themeShade="BF"/>
                <w:sz w:val="20"/>
                <w:szCs w:val="20"/>
                <w:lang w:eastAsia="fr-FR"/>
              </w:rPr>
              <w:t>9.5-11.6</w:t>
            </w:r>
            <w:r w:rsidRPr="00775CE7">
              <w:rPr>
                <w:rFonts w:ascii="Times New Roman" w:eastAsia="Times New Roman" w:hAnsi="Times New Roman" w:cs="Times New Roman"/>
                <w:b/>
                <w:color w:val="943634" w:themeColor="accent2" w:themeShade="BF"/>
                <w:sz w:val="20"/>
                <w:szCs w:val="20"/>
                <w:lang w:eastAsia="fr-FR"/>
              </w:rPr>
              <w:br/>
            </w:r>
            <w:r w:rsidRPr="00775CE7">
              <w:rPr>
                <w:rFonts w:ascii="Times New Roman" w:eastAsia="Times New Roman" w:hAnsi="Times New Roman" w:cs="Times New Roman"/>
                <w:b/>
                <w:color w:val="948A54" w:themeColor="background2" w:themeShade="80"/>
                <w:sz w:val="20"/>
                <w:szCs w:val="20"/>
                <w:lang w:eastAsia="fr-FR"/>
              </w:rPr>
              <w:t>10.4-12.3</w:t>
            </w:r>
          </w:p>
        </w:tc>
        <w:tc>
          <w:tcPr>
            <w:tcW w:w="1184" w:type="dxa"/>
            <w:tcBorders>
              <w:top w:val="nil"/>
              <w:bottom w:val="nil"/>
            </w:tcBorders>
            <w:shd w:val="clear" w:color="auto" w:fill="auto"/>
            <w:noWrap/>
            <w:vAlign w:val="center"/>
          </w:tcPr>
          <w:p w14:paraId="2BE49CDF" w14:textId="77777777" w:rsidR="008A19C5" w:rsidRPr="00775CE7" w:rsidRDefault="008A19C5" w:rsidP="008A19C5">
            <w:pPr>
              <w:autoSpaceDE w:val="0"/>
              <w:autoSpaceDN w:val="0"/>
              <w:adjustRightInd w:val="0"/>
              <w:snapToGrid w:val="0"/>
              <w:spacing w:before="60" w:after="0" w:line="240" w:lineRule="auto"/>
              <w:jc w:val="center"/>
              <w:rPr>
                <w:rFonts w:ascii="Times New Roman" w:eastAsia="Times New Roman" w:hAnsi="Times New Roman" w:cs="Times New Roman"/>
                <w:b/>
                <w:sz w:val="20"/>
                <w:szCs w:val="20"/>
                <w:lang w:eastAsia="fr-FR"/>
              </w:rPr>
            </w:pPr>
            <w:r w:rsidRPr="00775CE7">
              <w:rPr>
                <w:rFonts w:ascii="Times New Roman" w:eastAsia="Times New Roman" w:hAnsi="Times New Roman" w:cs="Times New Roman"/>
                <w:b/>
                <w:color w:val="365F91" w:themeColor="accent1" w:themeShade="BF"/>
                <w:sz w:val="20"/>
                <w:szCs w:val="20"/>
                <w:lang w:eastAsia="fr-FR"/>
              </w:rPr>
              <w:t>26.1-24.7</w:t>
            </w:r>
            <w:r w:rsidRPr="00775CE7">
              <w:rPr>
                <w:rFonts w:ascii="Times New Roman" w:eastAsia="Times New Roman" w:hAnsi="Times New Roman" w:cs="Times New Roman"/>
                <w:b/>
                <w:sz w:val="20"/>
                <w:szCs w:val="20"/>
                <w:lang w:eastAsia="fr-FR"/>
              </w:rPr>
              <w:br/>
            </w:r>
            <w:r w:rsidRPr="00775CE7">
              <w:rPr>
                <w:rFonts w:ascii="Times New Roman" w:eastAsia="Times New Roman" w:hAnsi="Times New Roman" w:cs="Times New Roman"/>
                <w:b/>
                <w:color w:val="943634" w:themeColor="accent2" w:themeShade="BF"/>
                <w:sz w:val="20"/>
                <w:szCs w:val="20"/>
                <w:lang w:eastAsia="fr-FR"/>
              </w:rPr>
              <w:t>26.1-24.7</w:t>
            </w:r>
            <w:r w:rsidRPr="00775CE7">
              <w:rPr>
                <w:rFonts w:ascii="Times New Roman" w:eastAsia="Times New Roman" w:hAnsi="Times New Roman" w:cs="Times New Roman"/>
                <w:b/>
                <w:color w:val="943634" w:themeColor="accent2" w:themeShade="BF"/>
                <w:sz w:val="20"/>
                <w:szCs w:val="20"/>
                <w:lang w:eastAsia="fr-FR"/>
              </w:rPr>
              <w:br/>
            </w:r>
            <w:r w:rsidRPr="00775CE7">
              <w:rPr>
                <w:rFonts w:ascii="Times New Roman" w:eastAsia="Times New Roman" w:hAnsi="Times New Roman" w:cs="Times New Roman"/>
                <w:b/>
                <w:color w:val="948A54" w:themeColor="background2" w:themeShade="80"/>
                <w:sz w:val="20"/>
                <w:szCs w:val="20"/>
                <w:lang w:eastAsia="fr-FR"/>
              </w:rPr>
              <w:t>25.5-24.5</w:t>
            </w:r>
          </w:p>
        </w:tc>
        <w:tc>
          <w:tcPr>
            <w:tcW w:w="1185" w:type="dxa"/>
            <w:tcBorders>
              <w:top w:val="nil"/>
              <w:bottom w:val="nil"/>
            </w:tcBorders>
            <w:shd w:val="clear" w:color="auto" w:fill="auto"/>
            <w:vAlign w:val="center"/>
          </w:tcPr>
          <w:p w14:paraId="7C62DC64" w14:textId="77777777" w:rsidR="008A19C5" w:rsidRPr="00775CE7" w:rsidRDefault="008A19C5" w:rsidP="008A19C5">
            <w:pPr>
              <w:autoSpaceDE w:val="0"/>
              <w:autoSpaceDN w:val="0"/>
              <w:adjustRightInd w:val="0"/>
              <w:snapToGrid w:val="0"/>
              <w:spacing w:before="60" w:after="0" w:line="240" w:lineRule="auto"/>
              <w:jc w:val="center"/>
              <w:rPr>
                <w:rFonts w:ascii="Times New Roman" w:eastAsia="Times New Roman" w:hAnsi="Times New Roman" w:cs="Times New Roman"/>
                <w:b/>
                <w:sz w:val="20"/>
                <w:szCs w:val="20"/>
                <w:lang w:eastAsia="fr-FR"/>
              </w:rPr>
            </w:pPr>
            <w:r w:rsidRPr="00775CE7">
              <w:rPr>
                <w:rFonts w:ascii="Times New Roman" w:eastAsia="Times New Roman" w:hAnsi="Times New Roman" w:cs="Times New Roman"/>
                <w:b/>
                <w:color w:val="365F91" w:themeColor="accent1" w:themeShade="BF"/>
                <w:sz w:val="20"/>
                <w:szCs w:val="20"/>
                <w:lang w:eastAsia="fr-FR"/>
              </w:rPr>
              <w:t>8.2-10.6</w:t>
            </w:r>
            <w:r w:rsidRPr="00775CE7">
              <w:rPr>
                <w:rFonts w:ascii="Times New Roman" w:eastAsia="Times New Roman" w:hAnsi="Times New Roman" w:cs="Times New Roman"/>
                <w:b/>
                <w:color w:val="365F91" w:themeColor="accent1" w:themeShade="BF"/>
                <w:sz w:val="20"/>
                <w:szCs w:val="20"/>
                <w:lang w:eastAsia="fr-FR"/>
              </w:rPr>
              <w:br/>
            </w:r>
            <w:r w:rsidRPr="00775CE7">
              <w:rPr>
                <w:rFonts w:ascii="Times New Roman" w:eastAsia="Times New Roman" w:hAnsi="Times New Roman" w:cs="Times New Roman"/>
                <w:b/>
                <w:color w:val="943634" w:themeColor="accent2" w:themeShade="BF"/>
                <w:sz w:val="20"/>
                <w:szCs w:val="20"/>
                <w:lang w:eastAsia="fr-FR"/>
              </w:rPr>
              <w:t>8.4-10.7</w:t>
            </w:r>
            <w:r w:rsidRPr="00775CE7">
              <w:rPr>
                <w:rFonts w:ascii="Times New Roman" w:eastAsia="Times New Roman" w:hAnsi="Times New Roman" w:cs="Times New Roman"/>
                <w:b/>
                <w:color w:val="943634" w:themeColor="accent2" w:themeShade="BF"/>
                <w:sz w:val="20"/>
                <w:szCs w:val="20"/>
                <w:lang w:eastAsia="fr-FR"/>
              </w:rPr>
              <w:br/>
            </w:r>
            <w:r w:rsidRPr="00775CE7">
              <w:rPr>
                <w:rFonts w:ascii="Times New Roman" w:eastAsia="Times New Roman" w:hAnsi="Times New Roman" w:cs="Times New Roman"/>
                <w:b/>
                <w:color w:val="948A54" w:themeColor="background2" w:themeShade="80"/>
                <w:sz w:val="20"/>
                <w:szCs w:val="20"/>
                <w:lang w:eastAsia="fr-FR"/>
              </w:rPr>
              <w:t>9.6-11.5</w:t>
            </w:r>
          </w:p>
        </w:tc>
        <w:tc>
          <w:tcPr>
            <w:tcW w:w="1184" w:type="dxa"/>
            <w:tcBorders>
              <w:top w:val="nil"/>
              <w:bottom w:val="nil"/>
            </w:tcBorders>
            <w:shd w:val="clear" w:color="auto" w:fill="auto"/>
            <w:vAlign w:val="center"/>
          </w:tcPr>
          <w:p w14:paraId="77ADF02C" w14:textId="77777777" w:rsidR="008A19C5" w:rsidRPr="00775CE7" w:rsidRDefault="008A19C5" w:rsidP="008A19C5">
            <w:pPr>
              <w:autoSpaceDE w:val="0"/>
              <w:autoSpaceDN w:val="0"/>
              <w:adjustRightInd w:val="0"/>
              <w:snapToGrid w:val="0"/>
              <w:spacing w:before="60" w:after="0" w:line="240" w:lineRule="auto"/>
              <w:jc w:val="center"/>
              <w:rPr>
                <w:rFonts w:ascii="Times New Roman" w:eastAsia="Times New Roman" w:hAnsi="Times New Roman" w:cs="Times New Roman"/>
                <w:b/>
                <w:sz w:val="20"/>
                <w:szCs w:val="20"/>
                <w:lang w:eastAsia="fr-FR"/>
              </w:rPr>
            </w:pPr>
            <w:r w:rsidRPr="00775CE7">
              <w:rPr>
                <w:rFonts w:ascii="Times New Roman" w:eastAsia="Times New Roman" w:hAnsi="Times New Roman" w:cs="Times New Roman"/>
                <w:b/>
                <w:color w:val="365F91" w:themeColor="accent1" w:themeShade="BF"/>
                <w:sz w:val="20"/>
                <w:szCs w:val="20"/>
                <w:lang w:eastAsia="fr-FR"/>
              </w:rPr>
              <w:t>41.4-40.2</w:t>
            </w:r>
            <w:r w:rsidRPr="00775CE7">
              <w:rPr>
                <w:rFonts w:ascii="Times New Roman" w:eastAsia="Times New Roman" w:hAnsi="Times New Roman" w:cs="Times New Roman"/>
                <w:b/>
                <w:sz w:val="20"/>
                <w:szCs w:val="20"/>
                <w:lang w:eastAsia="fr-FR"/>
              </w:rPr>
              <w:br/>
            </w:r>
            <w:r w:rsidRPr="00775CE7">
              <w:rPr>
                <w:rFonts w:ascii="Times New Roman" w:eastAsia="Times New Roman" w:hAnsi="Times New Roman" w:cs="Times New Roman"/>
                <w:b/>
                <w:color w:val="943634" w:themeColor="accent2" w:themeShade="BF"/>
                <w:sz w:val="20"/>
                <w:szCs w:val="20"/>
                <w:lang w:eastAsia="fr-FR"/>
              </w:rPr>
              <w:t>41.4-40.2</w:t>
            </w:r>
            <w:r w:rsidRPr="00775CE7">
              <w:rPr>
                <w:rFonts w:ascii="Times New Roman" w:eastAsia="Times New Roman" w:hAnsi="Times New Roman" w:cs="Times New Roman"/>
                <w:b/>
                <w:color w:val="943634" w:themeColor="accent2" w:themeShade="BF"/>
                <w:sz w:val="20"/>
                <w:szCs w:val="20"/>
                <w:lang w:eastAsia="fr-FR"/>
              </w:rPr>
              <w:br/>
            </w:r>
            <w:r w:rsidRPr="00775CE7">
              <w:rPr>
                <w:rFonts w:ascii="Times New Roman" w:eastAsia="Times New Roman" w:hAnsi="Times New Roman" w:cs="Times New Roman"/>
                <w:b/>
                <w:color w:val="948A54" w:themeColor="background2" w:themeShade="80"/>
                <w:sz w:val="20"/>
                <w:szCs w:val="20"/>
                <w:lang w:eastAsia="fr-FR"/>
              </w:rPr>
              <w:t>41.0-40.2</w:t>
            </w:r>
          </w:p>
        </w:tc>
        <w:tc>
          <w:tcPr>
            <w:tcW w:w="1185" w:type="dxa"/>
            <w:tcBorders>
              <w:top w:val="nil"/>
              <w:bottom w:val="nil"/>
            </w:tcBorders>
            <w:shd w:val="clear" w:color="auto" w:fill="auto"/>
            <w:vAlign w:val="center"/>
          </w:tcPr>
          <w:p w14:paraId="66E3ADF6" w14:textId="77777777" w:rsidR="008A19C5" w:rsidRPr="00775CE7" w:rsidRDefault="008A19C5" w:rsidP="008A19C5">
            <w:pPr>
              <w:autoSpaceDE w:val="0"/>
              <w:autoSpaceDN w:val="0"/>
              <w:adjustRightInd w:val="0"/>
              <w:snapToGrid w:val="0"/>
              <w:spacing w:before="60" w:after="0" w:line="240" w:lineRule="auto"/>
              <w:jc w:val="center"/>
              <w:rPr>
                <w:rFonts w:ascii="Times New Roman" w:eastAsia="Times New Roman" w:hAnsi="Times New Roman" w:cs="Times New Roman"/>
                <w:b/>
                <w:sz w:val="20"/>
                <w:szCs w:val="20"/>
                <w:lang w:eastAsia="fr-FR"/>
              </w:rPr>
            </w:pPr>
            <w:r w:rsidRPr="00775CE7">
              <w:rPr>
                <w:rFonts w:ascii="Times New Roman" w:eastAsia="Times New Roman" w:hAnsi="Times New Roman" w:cs="Times New Roman"/>
                <w:b/>
                <w:color w:val="365F91" w:themeColor="accent1" w:themeShade="BF"/>
                <w:sz w:val="20"/>
                <w:szCs w:val="20"/>
                <w:lang w:eastAsia="fr-FR"/>
              </w:rPr>
              <w:t>7.2-9.6</w:t>
            </w:r>
            <w:r w:rsidRPr="00775CE7">
              <w:rPr>
                <w:rFonts w:ascii="Times New Roman" w:eastAsia="Times New Roman" w:hAnsi="Times New Roman" w:cs="Times New Roman"/>
                <w:b/>
                <w:color w:val="365F91" w:themeColor="accent1" w:themeShade="BF"/>
                <w:sz w:val="20"/>
                <w:szCs w:val="20"/>
                <w:lang w:eastAsia="fr-FR"/>
              </w:rPr>
              <w:br/>
            </w:r>
            <w:r w:rsidRPr="00775CE7">
              <w:rPr>
                <w:rFonts w:ascii="Times New Roman" w:eastAsia="Times New Roman" w:hAnsi="Times New Roman" w:cs="Times New Roman"/>
                <w:b/>
                <w:color w:val="943634" w:themeColor="accent2" w:themeShade="BF"/>
                <w:sz w:val="20"/>
                <w:szCs w:val="20"/>
                <w:lang w:eastAsia="fr-FR"/>
              </w:rPr>
              <w:t>7.4-9.7</w:t>
            </w:r>
            <w:r w:rsidRPr="00775CE7">
              <w:rPr>
                <w:rFonts w:ascii="Times New Roman" w:eastAsia="Times New Roman" w:hAnsi="Times New Roman" w:cs="Times New Roman"/>
                <w:b/>
                <w:color w:val="943634" w:themeColor="accent2" w:themeShade="BF"/>
                <w:sz w:val="20"/>
                <w:szCs w:val="20"/>
                <w:lang w:eastAsia="fr-FR"/>
              </w:rPr>
              <w:br/>
            </w:r>
            <w:r w:rsidRPr="00775CE7">
              <w:rPr>
                <w:rFonts w:ascii="Times New Roman" w:eastAsia="Times New Roman" w:hAnsi="Times New Roman" w:cs="Times New Roman"/>
                <w:b/>
                <w:color w:val="948A54" w:themeColor="background2" w:themeShade="80"/>
                <w:sz w:val="20"/>
                <w:szCs w:val="20"/>
                <w:lang w:eastAsia="fr-FR"/>
              </w:rPr>
              <w:t>8.7-10.7</w:t>
            </w:r>
          </w:p>
        </w:tc>
      </w:tr>
      <w:tr w:rsidR="008A19C5" w:rsidRPr="00775CE7" w14:paraId="018F7E90" w14:textId="77777777" w:rsidTr="008A19C5">
        <w:trPr>
          <w:trHeight w:val="567"/>
        </w:trPr>
        <w:tc>
          <w:tcPr>
            <w:tcW w:w="1183" w:type="dxa"/>
            <w:tcBorders>
              <w:top w:val="nil"/>
              <w:bottom w:val="nil"/>
            </w:tcBorders>
            <w:shd w:val="clear" w:color="auto" w:fill="auto"/>
            <w:vAlign w:val="center"/>
          </w:tcPr>
          <w:p w14:paraId="510644B3" w14:textId="77777777" w:rsidR="008A19C5" w:rsidRPr="00775CE7" w:rsidRDefault="008A19C5" w:rsidP="008A19C5">
            <w:pPr>
              <w:autoSpaceDE w:val="0"/>
              <w:autoSpaceDN w:val="0"/>
              <w:adjustRightInd w:val="0"/>
              <w:snapToGrid w:val="0"/>
              <w:spacing w:before="60" w:after="0" w:line="240" w:lineRule="auto"/>
              <w:jc w:val="center"/>
              <w:rPr>
                <w:rFonts w:ascii="Times New Roman" w:eastAsia="Times New Roman" w:hAnsi="Times New Roman" w:cs="Times New Roman"/>
                <w:b/>
                <w:sz w:val="20"/>
                <w:szCs w:val="20"/>
                <w:lang w:eastAsia="fr-FR"/>
              </w:rPr>
            </w:pPr>
            <w:r w:rsidRPr="00775CE7">
              <w:rPr>
                <w:rFonts w:ascii="Times New Roman" w:eastAsia="Times New Roman" w:hAnsi="Times New Roman" w:cs="Times New Roman"/>
                <w:b/>
                <w:sz w:val="20"/>
                <w:szCs w:val="20"/>
                <w:lang w:eastAsia="fr-FR"/>
              </w:rPr>
              <w:t>20</w:t>
            </w:r>
          </w:p>
        </w:tc>
        <w:tc>
          <w:tcPr>
            <w:tcW w:w="1185" w:type="dxa"/>
            <w:tcBorders>
              <w:top w:val="nil"/>
              <w:bottom w:val="nil"/>
            </w:tcBorders>
            <w:vAlign w:val="center"/>
          </w:tcPr>
          <w:p w14:paraId="78866775" w14:textId="77777777" w:rsidR="008A19C5" w:rsidRPr="00775CE7" w:rsidRDefault="008A19C5" w:rsidP="008A19C5">
            <w:pPr>
              <w:autoSpaceDE w:val="0"/>
              <w:autoSpaceDN w:val="0"/>
              <w:adjustRightInd w:val="0"/>
              <w:snapToGrid w:val="0"/>
              <w:spacing w:before="60" w:after="0" w:line="240" w:lineRule="auto"/>
              <w:jc w:val="center"/>
              <w:rPr>
                <w:rFonts w:ascii="Times New Roman" w:eastAsia="Times New Roman" w:hAnsi="Times New Roman" w:cs="Times New Roman"/>
                <w:b/>
                <w:sz w:val="20"/>
                <w:szCs w:val="20"/>
                <w:lang w:eastAsia="fr-FR"/>
              </w:rPr>
            </w:pPr>
            <w:r w:rsidRPr="00775CE7">
              <w:rPr>
                <w:rFonts w:ascii="Times New Roman" w:eastAsia="Times New Roman" w:hAnsi="Times New Roman" w:cs="Times New Roman"/>
                <w:b/>
                <w:color w:val="365F91" w:themeColor="accent1" w:themeShade="BF"/>
                <w:sz w:val="20"/>
                <w:szCs w:val="20"/>
                <w:lang w:eastAsia="fr-FR"/>
              </w:rPr>
              <w:t>-1.9--4.5</w:t>
            </w:r>
            <w:r w:rsidRPr="00775CE7">
              <w:rPr>
                <w:rFonts w:ascii="Times New Roman" w:eastAsia="Times New Roman" w:hAnsi="Times New Roman" w:cs="Times New Roman"/>
                <w:b/>
                <w:color w:val="365F91" w:themeColor="accent1" w:themeShade="BF"/>
                <w:sz w:val="20"/>
                <w:szCs w:val="20"/>
                <w:lang w:eastAsia="fr-FR"/>
              </w:rPr>
              <w:br/>
            </w:r>
            <w:r w:rsidRPr="00775CE7">
              <w:rPr>
                <w:rFonts w:ascii="Times New Roman" w:eastAsia="Times New Roman" w:hAnsi="Times New Roman" w:cs="Times New Roman"/>
                <w:b/>
                <w:color w:val="943634" w:themeColor="accent2" w:themeShade="BF"/>
                <w:sz w:val="20"/>
                <w:szCs w:val="20"/>
                <w:lang w:eastAsia="fr-FR"/>
              </w:rPr>
              <w:t>-2.1--4.6</w:t>
            </w:r>
            <w:r w:rsidRPr="00775CE7">
              <w:rPr>
                <w:rFonts w:ascii="Times New Roman" w:eastAsia="Times New Roman" w:hAnsi="Times New Roman" w:cs="Times New Roman"/>
                <w:b/>
                <w:color w:val="943634" w:themeColor="accent2" w:themeShade="BF"/>
                <w:sz w:val="20"/>
                <w:szCs w:val="20"/>
                <w:lang w:eastAsia="fr-FR"/>
              </w:rPr>
              <w:br/>
            </w:r>
            <w:r w:rsidRPr="00775CE7">
              <w:rPr>
                <w:rFonts w:ascii="Times New Roman" w:eastAsia="Times New Roman" w:hAnsi="Times New Roman" w:cs="Times New Roman"/>
                <w:b/>
                <w:color w:val="948A54" w:themeColor="background2" w:themeShade="80"/>
                <w:sz w:val="20"/>
                <w:szCs w:val="20"/>
                <w:lang w:eastAsia="fr-FR"/>
              </w:rPr>
              <w:t>-3.3--5.5</w:t>
            </w:r>
          </w:p>
        </w:tc>
        <w:tc>
          <w:tcPr>
            <w:tcW w:w="1185" w:type="dxa"/>
            <w:tcBorders>
              <w:top w:val="nil"/>
              <w:bottom w:val="nil"/>
            </w:tcBorders>
            <w:vAlign w:val="center"/>
          </w:tcPr>
          <w:p w14:paraId="573BEAF0" w14:textId="77777777" w:rsidR="008A19C5" w:rsidRPr="00775CE7" w:rsidRDefault="008A19C5" w:rsidP="008A19C5">
            <w:pPr>
              <w:autoSpaceDE w:val="0"/>
              <w:autoSpaceDN w:val="0"/>
              <w:adjustRightInd w:val="0"/>
              <w:snapToGrid w:val="0"/>
              <w:spacing w:before="60" w:after="0" w:line="240" w:lineRule="auto"/>
              <w:jc w:val="center"/>
              <w:rPr>
                <w:rFonts w:ascii="Times New Roman" w:eastAsia="Times New Roman" w:hAnsi="Times New Roman" w:cs="Times New Roman"/>
                <w:b/>
                <w:sz w:val="20"/>
                <w:szCs w:val="20"/>
                <w:lang w:eastAsia="fr-FR"/>
              </w:rPr>
            </w:pPr>
            <w:r w:rsidRPr="00775CE7">
              <w:rPr>
                <w:rFonts w:ascii="Times New Roman" w:eastAsia="Times New Roman" w:hAnsi="Times New Roman" w:cs="Times New Roman"/>
                <w:b/>
                <w:color w:val="365F91" w:themeColor="accent1" w:themeShade="BF"/>
                <w:sz w:val="20"/>
                <w:szCs w:val="20"/>
                <w:lang w:eastAsia="fr-FR"/>
              </w:rPr>
              <w:t>12.0-14.7</w:t>
            </w:r>
            <w:r w:rsidRPr="00775CE7">
              <w:rPr>
                <w:rFonts w:ascii="Times New Roman" w:eastAsia="Times New Roman" w:hAnsi="Times New Roman" w:cs="Times New Roman"/>
                <w:b/>
                <w:sz w:val="20"/>
                <w:szCs w:val="20"/>
                <w:lang w:eastAsia="fr-FR"/>
              </w:rPr>
              <w:br/>
            </w:r>
            <w:r w:rsidRPr="00775CE7">
              <w:rPr>
                <w:rFonts w:ascii="Times New Roman" w:eastAsia="Times New Roman" w:hAnsi="Times New Roman" w:cs="Times New Roman"/>
                <w:b/>
                <w:color w:val="943634" w:themeColor="accent2" w:themeShade="BF"/>
                <w:sz w:val="20"/>
                <w:szCs w:val="20"/>
                <w:lang w:eastAsia="fr-FR"/>
              </w:rPr>
              <w:t>12.2-14.8</w:t>
            </w:r>
            <w:r w:rsidRPr="00775CE7">
              <w:rPr>
                <w:rFonts w:ascii="Times New Roman" w:eastAsia="Times New Roman" w:hAnsi="Times New Roman" w:cs="Times New Roman"/>
                <w:b/>
                <w:sz w:val="20"/>
                <w:szCs w:val="20"/>
                <w:lang w:eastAsia="fr-FR"/>
              </w:rPr>
              <w:br/>
            </w:r>
            <w:r w:rsidRPr="00775CE7">
              <w:rPr>
                <w:rFonts w:ascii="Times New Roman" w:eastAsia="Times New Roman" w:hAnsi="Times New Roman" w:cs="Times New Roman"/>
                <w:b/>
                <w:color w:val="948A54" w:themeColor="background2" w:themeShade="80"/>
                <w:sz w:val="20"/>
                <w:szCs w:val="20"/>
                <w:lang w:eastAsia="fr-FR"/>
              </w:rPr>
              <w:t>13.5-15.8</w:t>
            </w:r>
          </w:p>
        </w:tc>
        <w:tc>
          <w:tcPr>
            <w:tcW w:w="1185" w:type="dxa"/>
            <w:tcBorders>
              <w:top w:val="nil"/>
              <w:bottom w:val="nil"/>
            </w:tcBorders>
            <w:shd w:val="clear" w:color="auto" w:fill="auto"/>
            <w:vAlign w:val="center"/>
          </w:tcPr>
          <w:p w14:paraId="30B0E7B5" w14:textId="77777777" w:rsidR="008A19C5" w:rsidRPr="00775CE7" w:rsidRDefault="008A19C5" w:rsidP="008A19C5">
            <w:pPr>
              <w:autoSpaceDE w:val="0"/>
              <w:autoSpaceDN w:val="0"/>
              <w:adjustRightInd w:val="0"/>
              <w:snapToGrid w:val="0"/>
              <w:spacing w:before="60" w:after="0" w:line="240" w:lineRule="auto"/>
              <w:jc w:val="center"/>
              <w:rPr>
                <w:rFonts w:ascii="Times New Roman" w:eastAsia="Times New Roman" w:hAnsi="Times New Roman" w:cs="Times New Roman"/>
                <w:b/>
                <w:sz w:val="20"/>
                <w:szCs w:val="20"/>
                <w:lang w:eastAsia="fr-FR"/>
              </w:rPr>
            </w:pPr>
            <w:r w:rsidRPr="00775CE7">
              <w:rPr>
                <w:rFonts w:ascii="Times New Roman" w:eastAsia="Times New Roman" w:hAnsi="Times New Roman" w:cs="Times New Roman"/>
                <w:b/>
                <w:color w:val="365F91" w:themeColor="accent1" w:themeShade="BF"/>
                <w:sz w:val="20"/>
                <w:szCs w:val="20"/>
                <w:lang w:eastAsia="fr-FR"/>
              </w:rPr>
              <w:t>10.7-8.3</w:t>
            </w:r>
            <w:r w:rsidRPr="00775CE7">
              <w:rPr>
                <w:rFonts w:ascii="Times New Roman" w:eastAsia="Times New Roman" w:hAnsi="Times New Roman" w:cs="Times New Roman"/>
                <w:b/>
                <w:sz w:val="20"/>
                <w:szCs w:val="20"/>
                <w:lang w:eastAsia="fr-FR"/>
              </w:rPr>
              <w:br/>
            </w:r>
            <w:r w:rsidRPr="00775CE7">
              <w:rPr>
                <w:rFonts w:ascii="Times New Roman" w:eastAsia="Times New Roman" w:hAnsi="Times New Roman" w:cs="Times New Roman"/>
                <w:b/>
                <w:color w:val="943634" w:themeColor="accent2" w:themeShade="BF"/>
                <w:sz w:val="20"/>
                <w:szCs w:val="20"/>
                <w:lang w:eastAsia="fr-FR"/>
              </w:rPr>
              <w:t>10.5-8.2</w:t>
            </w:r>
            <w:r w:rsidRPr="00775CE7">
              <w:rPr>
                <w:rFonts w:ascii="Times New Roman" w:eastAsia="Times New Roman" w:hAnsi="Times New Roman" w:cs="Times New Roman"/>
                <w:b/>
                <w:sz w:val="20"/>
                <w:szCs w:val="20"/>
                <w:lang w:eastAsia="fr-FR"/>
              </w:rPr>
              <w:br/>
            </w:r>
            <w:r w:rsidRPr="00775CE7">
              <w:rPr>
                <w:rFonts w:ascii="Times New Roman" w:eastAsia="Times New Roman" w:hAnsi="Times New Roman" w:cs="Times New Roman"/>
                <w:b/>
                <w:color w:val="948A54" w:themeColor="background2" w:themeShade="80"/>
                <w:sz w:val="20"/>
                <w:szCs w:val="20"/>
                <w:lang w:eastAsia="fr-FR"/>
              </w:rPr>
              <w:t>9.2-7.2</w:t>
            </w:r>
          </w:p>
        </w:tc>
        <w:tc>
          <w:tcPr>
            <w:tcW w:w="1185" w:type="dxa"/>
            <w:tcBorders>
              <w:top w:val="nil"/>
              <w:bottom w:val="nil"/>
            </w:tcBorders>
            <w:shd w:val="clear" w:color="auto" w:fill="auto"/>
            <w:vAlign w:val="center"/>
          </w:tcPr>
          <w:p w14:paraId="0DB5E186" w14:textId="77777777" w:rsidR="008A19C5" w:rsidRPr="00775CE7" w:rsidRDefault="008A19C5" w:rsidP="008A19C5">
            <w:pPr>
              <w:autoSpaceDE w:val="0"/>
              <w:autoSpaceDN w:val="0"/>
              <w:adjustRightInd w:val="0"/>
              <w:snapToGrid w:val="0"/>
              <w:spacing w:before="60" w:after="0" w:line="240" w:lineRule="auto"/>
              <w:jc w:val="center"/>
              <w:rPr>
                <w:rFonts w:ascii="Times New Roman" w:eastAsia="Times New Roman" w:hAnsi="Times New Roman" w:cs="Times New Roman"/>
                <w:b/>
                <w:sz w:val="20"/>
                <w:szCs w:val="20"/>
                <w:lang w:eastAsia="fr-FR"/>
              </w:rPr>
            </w:pPr>
            <w:r w:rsidRPr="00775CE7">
              <w:rPr>
                <w:rFonts w:ascii="Times New Roman" w:eastAsia="Times New Roman" w:hAnsi="Times New Roman" w:cs="Times New Roman"/>
                <w:b/>
                <w:color w:val="365F91" w:themeColor="accent1" w:themeShade="BF"/>
                <w:sz w:val="20"/>
                <w:szCs w:val="20"/>
                <w:lang w:eastAsia="fr-FR"/>
              </w:rPr>
              <w:t>10.7-13.4</w:t>
            </w:r>
            <w:r w:rsidRPr="00775CE7">
              <w:rPr>
                <w:rFonts w:ascii="Times New Roman" w:eastAsia="Times New Roman" w:hAnsi="Times New Roman" w:cs="Times New Roman"/>
                <w:b/>
                <w:sz w:val="20"/>
                <w:szCs w:val="20"/>
                <w:lang w:eastAsia="fr-FR"/>
              </w:rPr>
              <w:br/>
            </w:r>
            <w:r w:rsidRPr="00775CE7">
              <w:rPr>
                <w:rFonts w:ascii="Times New Roman" w:eastAsia="Times New Roman" w:hAnsi="Times New Roman" w:cs="Times New Roman"/>
                <w:b/>
                <w:color w:val="943634" w:themeColor="accent2" w:themeShade="BF"/>
                <w:sz w:val="20"/>
                <w:szCs w:val="20"/>
                <w:lang w:eastAsia="fr-FR"/>
              </w:rPr>
              <w:t>10.9-13.6</w:t>
            </w:r>
            <w:r w:rsidRPr="00775CE7">
              <w:rPr>
                <w:rFonts w:ascii="Times New Roman" w:eastAsia="Times New Roman" w:hAnsi="Times New Roman" w:cs="Times New Roman"/>
                <w:b/>
                <w:sz w:val="20"/>
                <w:szCs w:val="20"/>
                <w:lang w:eastAsia="fr-FR"/>
              </w:rPr>
              <w:br/>
            </w:r>
            <w:r w:rsidRPr="00775CE7">
              <w:rPr>
                <w:rFonts w:ascii="Times New Roman" w:eastAsia="Times New Roman" w:hAnsi="Times New Roman" w:cs="Times New Roman"/>
                <w:b/>
                <w:color w:val="948A54" w:themeColor="background2" w:themeShade="80"/>
                <w:sz w:val="20"/>
                <w:szCs w:val="20"/>
                <w:lang w:eastAsia="fr-FR"/>
              </w:rPr>
              <w:t>12.4-14.8</w:t>
            </w:r>
          </w:p>
        </w:tc>
        <w:tc>
          <w:tcPr>
            <w:tcW w:w="1184" w:type="dxa"/>
            <w:tcBorders>
              <w:top w:val="nil"/>
              <w:bottom w:val="nil"/>
            </w:tcBorders>
            <w:shd w:val="clear" w:color="auto" w:fill="auto"/>
            <w:noWrap/>
            <w:vAlign w:val="center"/>
          </w:tcPr>
          <w:p w14:paraId="15999232" w14:textId="77777777" w:rsidR="008A19C5" w:rsidRPr="00775CE7" w:rsidRDefault="008A19C5" w:rsidP="008A19C5">
            <w:pPr>
              <w:autoSpaceDE w:val="0"/>
              <w:autoSpaceDN w:val="0"/>
              <w:adjustRightInd w:val="0"/>
              <w:snapToGrid w:val="0"/>
              <w:spacing w:before="60" w:after="0" w:line="240" w:lineRule="auto"/>
              <w:jc w:val="center"/>
              <w:rPr>
                <w:rFonts w:ascii="Times New Roman" w:eastAsia="Times New Roman" w:hAnsi="Times New Roman" w:cs="Times New Roman"/>
                <w:b/>
                <w:sz w:val="20"/>
                <w:szCs w:val="20"/>
                <w:lang w:eastAsia="fr-FR"/>
              </w:rPr>
            </w:pPr>
            <w:r w:rsidRPr="00775CE7">
              <w:rPr>
                <w:rFonts w:ascii="Times New Roman" w:eastAsia="Times New Roman" w:hAnsi="Times New Roman" w:cs="Times New Roman"/>
                <w:b/>
                <w:color w:val="365F91" w:themeColor="accent1" w:themeShade="BF"/>
                <w:sz w:val="20"/>
                <w:szCs w:val="20"/>
                <w:lang w:eastAsia="fr-FR"/>
              </w:rPr>
              <w:t>24.5-22.5</w:t>
            </w:r>
            <w:r w:rsidRPr="00775CE7">
              <w:rPr>
                <w:rFonts w:ascii="Times New Roman" w:eastAsia="Times New Roman" w:hAnsi="Times New Roman" w:cs="Times New Roman"/>
                <w:b/>
                <w:sz w:val="20"/>
                <w:szCs w:val="20"/>
                <w:lang w:eastAsia="fr-FR"/>
              </w:rPr>
              <w:br/>
            </w:r>
            <w:r w:rsidRPr="00775CE7">
              <w:rPr>
                <w:rFonts w:ascii="Times New Roman" w:eastAsia="Times New Roman" w:hAnsi="Times New Roman" w:cs="Times New Roman"/>
                <w:b/>
                <w:color w:val="943634" w:themeColor="accent2" w:themeShade="BF"/>
                <w:sz w:val="20"/>
                <w:szCs w:val="20"/>
                <w:lang w:eastAsia="fr-FR"/>
              </w:rPr>
              <w:t>24.4-22.4</w:t>
            </w:r>
            <w:r w:rsidRPr="00775CE7">
              <w:rPr>
                <w:rFonts w:ascii="Times New Roman" w:eastAsia="Times New Roman" w:hAnsi="Times New Roman" w:cs="Times New Roman"/>
                <w:b/>
                <w:color w:val="943634" w:themeColor="accent2" w:themeShade="BF"/>
                <w:sz w:val="20"/>
                <w:szCs w:val="20"/>
                <w:lang w:eastAsia="fr-FR"/>
              </w:rPr>
              <w:br/>
            </w:r>
            <w:r w:rsidRPr="00775CE7">
              <w:rPr>
                <w:rFonts w:ascii="Times New Roman" w:eastAsia="Times New Roman" w:hAnsi="Times New Roman" w:cs="Times New Roman"/>
                <w:b/>
                <w:color w:val="948A54" w:themeColor="background2" w:themeShade="80"/>
                <w:sz w:val="20"/>
                <w:szCs w:val="20"/>
                <w:lang w:eastAsia="fr-FR"/>
              </w:rPr>
              <w:t>23.0-21.4</w:t>
            </w:r>
          </w:p>
        </w:tc>
        <w:tc>
          <w:tcPr>
            <w:tcW w:w="1185" w:type="dxa"/>
            <w:tcBorders>
              <w:top w:val="nil"/>
              <w:bottom w:val="nil"/>
            </w:tcBorders>
            <w:shd w:val="clear" w:color="auto" w:fill="auto"/>
            <w:vAlign w:val="center"/>
          </w:tcPr>
          <w:p w14:paraId="3F8A4AB3" w14:textId="77777777" w:rsidR="008A19C5" w:rsidRPr="00775CE7" w:rsidRDefault="008A19C5" w:rsidP="008A19C5">
            <w:pPr>
              <w:autoSpaceDE w:val="0"/>
              <w:autoSpaceDN w:val="0"/>
              <w:adjustRightInd w:val="0"/>
              <w:snapToGrid w:val="0"/>
              <w:spacing w:before="60" w:after="0" w:line="240" w:lineRule="auto"/>
              <w:jc w:val="center"/>
              <w:rPr>
                <w:rFonts w:ascii="Times New Roman" w:eastAsia="Times New Roman" w:hAnsi="Times New Roman" w:cs="Times New Roman"/>
                <w:b/>
                <w:sz w:val="20"/>
                <w:szCs w:val="20"/>
                <w:lang w:eastAsia="fr-FR"/>
              </w:rPr>
            </w:pPr>
            <w:r w:rsidRPr="00775CE7">
              <w:rPr>
                <w:rFonts w:ascii="Times New Roman" w:eastAsia="Times New Roman" w:hAnsi="Times New Roman" w:cs="Times New Roman"/>
                <w:b/>
                <w:color w:val="365F91" w:themeColor="accent1" w:themeShade="BF"/>
                <w:sz w:val="20"/>
                <w:szCs w:val="20"/>
                <w:lang w:eastAsia="fr-FR"/>
              </w:rPr>
              <w:t>9.3-12.2</w:t>
            </w:r>
            <w:r w:rsidRPr="00775CE7">
              <w:rPr>
                <w:rFonts w:ascii="Times New Roman" w:eastAsia="Times New Roman" w:hAnsi="Times New Roman" w:cs="Times New Roman"/>
                <w:b/>
                <w:sz w:val="20"/>
                <w:szCs w:val="20"/>
                <w:lang w:eastAsia="fr-FR"/>
              </w:rPr>
              <w:br/>
            </w:r>
            <w:r w:rsidRPr="00775CE7">
              <w:rPr>
                <w:rFonts w:ascii="Times New Roman" w:eastAsia="Times New Roman" w:hAnsi="Times New Roman" w:cs="Times New Roman"/>
                <w:b/>
                <w:color w:val="943634" w:themeColor="accent2" w:themeShade="BF"/>
                <w:sz w:val="20"/>
                <w:szCs w:val="20"/>
                <w:lang w:eastAsia="fr-FR"/>
              </w:rPr>
              <w:t>9.6-12.4</w:t>
            </w:r>
            <w:r w:rsidRPr="00775CE7">
              <w:rPr>
                <w:rFonts w:ascii="Times New Roman" w:eastAsia="Times New Roman" w:hAnsi="Times New Roman" w:cs="Times New Roman"/>
                <w:b/>
                <w:color w:val="943634" w:themeColor="accent2" w:themeShade="BF"/>
                <w:sz w:val="20"/>
                <w:szCs w:val="20"/>
                <w:lang w:eastAsia="fr-FR"/>
              </w:rPr>
              <w:br/>
            </w:r>
            <w:r w:rsidRPr="00775CE7">
              <w:rPr>
                <w:rFonts w:ascii="Times New Roman" w:eastAsia="Times New Roman" w:hAnsi="Times New Roman" w:cs="Times New Roman"/>
                <w:b/>
                <w:color w:val="948A54" w:themeColor="background2" w:themeShade="80"/>
                <w:sz w:val="20"/>
                <w:szCs w:val="20"/>
                <w:lang w:eastAsia="fr-FR"/>
              </w:rPr>
              <w:t>11.4-13.8</w:t>
            </w:r>
          </w:p>
        </w:tc>
        <w:tc>
          <w:tcPr>
            <w:tcW w:w="1184" w:type="dxa"/>
            <w:tcBorders>
              <w:top w:val="nil"/>
              <w:bottom w:val="nil"/>
            </w:tcBorders>
            <w:shd w:val="clear" w:color="auto" w:fill="auto"/>
            <w:vAlign w:val="center"/>
          </w:tcPr>
          <w:p w14:paraId="37609A42" w14:textId="77777777" w:rsidR="008A19C5" w:rsidRPr="00775CE7" w:rsidRDefault="008A19C5" w:rsidP="008A19C5">
            <w:pPr>
              <w:autoSpaceDE w:val="0"/>
              <w:autoSpaceDN w:val="0"/>
              <w:adjustRightInd w:val="0"/>
              <w:snapToGrid w:val="0"/>
              <w:spacing w:before="60" w:after="0" w:line="240" w:lineRule="auto"/>
              <w:jc w:val="center"/>
              <w:rPr>
                <w:rFonts w:ascii="Times New Roman" w:eastAsia="Times New Roman" w:hAnsi="Times New Roman" w:cs="Times New Roman"/>
                <w:b/>
                <w:sz w:val="20"/>
                <w:szCs w:val="20"/>
                <w:lang w:eastAsia="fr-FR"/>
              </w:rPr>
            </w:pPr>
            <w:r w:rsidRPr="00775CE7">
              <w:rPr>
                <w:rFonts w:ascii="Times New Roman" w:eastAsia="Times New Roman" w:hAnsi="Times New Roman" w:cs="Times New Roman"/>
                <w:b/>
                <w:color w:val="365F91" w:themeColor="accent1" w:themeShade="BF"/>
                <w:sz w:val="20"/>
                <w:szCs w:val="20"/>
                <w:lang w:eastAsia="fr-FR"/>
              </w:rPr>
              <w:t>39.9-38.2</w:t>
            </w:r>
            <w:r w:rsidRPr="00775CE7">
              <w:rPr>
                <w:rFonts w:ascii="Times New Roman" w:eastAsia="Times New Roman" w:hAnsi="Times New Roman" w:cs="Times New Roman"/>
                <w:b/>
                <w:sz w:val="20"/>
                <w:szCs w:val="20"/>
                <w:lang w:eastAsia="fr-FR"/>
              </w:rPr>
              <w:br/>
            </w:r>
            <w:r w:rsidRPr="00775CE7">
              <w:rPr>
                <w:rFonts w:ascii="Times New Roman" w:eastAsia="Times New Roman" w:hAnsi="Times New Roman" w:cs="Times New Roman"/>
                <w:b/>
                <w:color w:val="943634" w:themeColor="accent2" w:themeShade="BF"/>
                <w:sz w:val="20"/>
                <w:szCs w:val="20"/>
                <w:lang w:eastAsia="fr-FR"/>
              </w:rPr>
              <w:t>39.8-38.1</w:t>
            </w:r>
            <w:r w:rsidRPr="00775CE7">
              <w:rPr>
                <w:rFonts w:ascii="Times New Roman" w:eastAsia="Times New Roman" w:hAnsi="Times New Roman" w:cs="Times New Roman"/>
                <w:b/>
                <w:color w:val="943634" w:themeColor="accent2" w:themeShade="BF"/>
                <w:sz w:val="20"/>
                <w:szCs w:val="20"/>
                <w:lang w:eastAsia="fr-FR"/>
              </w:rPr>
              <w:br/>
            </w:r>
            <w:r w:rsidRPr="00775CE7">
              <w:rPr>
                <w:rFonts w:ascii="Times New Roman" w:eastAsia="Times New Roman" w:hAnsi="Times New Roman" w:cs="Times New Roman"/>
                <w:b/>
                <w:color w:val="948A54" w:themeColor="background2" w:themeShade="80"/>
                <w:sz w:val="20"/>
                <w:szCs w:val="20"/>
                <w:lang w:eastAsia="fr-FR"/>
              </w:rPr>
              <w:t>38.4-37.1</w:t>
            </w:r>
          </w:p>
        </w:tc>
        <w:tc>
          <w:tcPr>
            <w:tcW w:w="1185" w:type="dxa"/>
            <w:tcBorders>
              <w:top w:val="nil"/>
              <w:bottom w:val="nil"/>
            </w:tcBorders>
            <w:shd w:val="clear" w:color="auto" w:fill="auto"/>
            <w:vAlign w:val="center"/>
          </w:tcPr>
          <w:p w14:paraId="100A98AA" w14:textId="77777777" w:rsidR="008A19C5" w:rsidRPr="00775CE7" w:rsidRDefault="008A19C5" w:rsidP="008A19C5">
            <w:pPr>
              <w:autoSpaceDE w:val="0"/>
              <w:autoSpaceDN w:val="0"/>
              <w:adjustRightInd w:val="0"/>
              <w:snapToGrid w:val="0"/>
              <w:spacing w:before="60" w:after="0" w:line="240" w:lineRule="auto"/>
              <w:jc w:val="center"/>
              <w:rPr>
                <w:rFonts w:ascii="Times New Roman" w:eastAsia="Times New Roman" w:hAnsi="Times New Roman" w:cs="Times New Roman"/>
                <w:b/>
                <w:sz w:val="20"/>
                <w:szCs w:val="20"/>
                <w:lang w:eastAsia="fr-FR"/>
              </w:rPr>
            </w:pPr>
            <w:r w:rsidRPr="00775CE7">
              <w:rPr>
                <w:rFonts w:ascii="Times New Roman" w:eastAsia="Times New Roman" w:hAnsi="Times New Roman" w:cs="Times New Roman"/>
                <w:b/>
                <w:color w:val="365F91" w:themeColor="accent1" w:themeShade="BF"/>
                <w:sz w:val="20"/>
                <w:szCs w:val="20"/>
                <w:lang w:eastAsia="fr-FR"/>
              </w:rPr>
              <w:t>8.1-10.9</w:t>
            </w:r>
            <w:r w:rsidRPr="00775CE7">
              <w:rPr>
                <w:rFonts w:ascii="Times New Roman" w:eastAsia="Times New Roman" w:hAnsi="Times New Roman" w:cs="Times New Roman"/>
                <w:b/>
                <w:sz w:val="20"/>
                <w:szCs w:val="20"/>
                <w:lang w:eastAsia="fr-FR"/>
              </w:rPr>
              <w:br/>
            </w:r>
            <w:r w:rsidRPr="00775CE7">
              <w:rPr>
                <w:rFonts w:ascii="Times New Roman" w:eastAsia="Times New Roman" w:hAnsi="Times New Roman" w:cs="Times New Roman"/>
                <w:b/>
                <w:color w:val="943634" w:themeColor="accent2" w:themeShade="BF"/>
                <w:sz w:val="20"/>
                <w:szCs w:val="20"/>
                <w:lang w:eastAsia="fr-FR"/>
              </w:rPr>
              <w:t>8.4-11.1</w:t>
            </w:r>
            <w:r w:rsidRPr="00775CE7">
              <w:rPr>
                <w:rFonts w:ascii="Times New Roman" w:eastAsia="Times New Roman" w:hAnsi="Times New Roman" w:cs="Times New Roman"/>
                <w:b/>
                <w:color w:val="943634" w:themeColor="accent2" w:themeShade="BF"/>
                <w:sz w:val="20"/>
                <w:szCs w:val="20"/>
                <w:lang w:eastAsia="fr-FR"/>
              </w:rPr>
              <w:br/>
            </w:r>
            <w:r w:rsidRPr="00775CE7">
              <w:rPr>
                <w:rFonts w:ascii="Times New Roman" w:eastAsia="Times New Roman" w:hAnsi="Times New Roman" w:cs="Times New Roman"/>
                <w:b/>
                <w:color w:val="948A54" w:themeColor="background2" w:themeShade="80"/>
                <w:sz w:val="20"/>
                <w:szCs w:val="20"/>
                <w:lang w:eastAsia="fr-FR"/>
              </w:rPr>
              <w:t>10.4-12.7</w:t>
            </w:r>
          </w:p>
        </w:tc>
      </w:tr>
      <w:tr w:rsidR="008A19C5" w:rsidRPr="00775CE7" w14:paraId="4A168273" w14:textId="77777777" w:rsidTr="008A19C5">
        <w:trPr>
          <w:trHeight w:val="552"/>
        </w:trPr>
        <w:tc>
          <w:tcPr>
            <w:tcW w:w="1183" w:type="dxa"/>
            <w:tcBorders>
              <w:top w:val="nil"/>
              <w:bottom w:val="nil"/>
            </w:tcBorders>
            <w:shd w:val="clear" w:color="auto" w:fill="auto"/>
            <w:vAlign w:val="center"/>
          </w:tcPr>
          <w:p w14:paraId="78F714C1" w14:textId="77777777" w:rsidR="008A19C5" w:rsidRPr="00775CE7" w:rsidRDefault="008A19C5" w:rsidP="008A19C5">
            <w:pPr>
              <w:autoSpaceDE w:val="0"/>
              <w:autoSpaceDN w:val="0"/>
              <w:adjustRightInd w:val="0"/>
              <w:snapToGrid w:val="0"/>
              <w:spacing w:before="60" w:after="0" w:line="240" w:lineRule="auto"/>
              <w:jc w:val="center"/>
              <w:rPr>
                <w:rFonts w:ascii="Times New Roman" w:eastAsia="Times New Roman" w:hAnsi="Times New Roman" w:cs="Times New Roman"/>
                <w:b/>
                <w:sz w:val="20"/>
                <w:szCs w:val="20"/>
                <w:lang w:eastAsia="fr-FR"/>
              </w:rPr>
            </w:pPr>
            <w:r w:rsidRPr="00775CE7">
              <w:rPr>
                <w:rFonts w:ascii="Times New Roman" w:eastAsia="Times New Roman" w:hAnsi="Times New Roman" w:cs="Times New Roman"/>
                <w:b/>
                <w:sz w:val="20"/>
                <w:szCs w:val="20"/>
                <w:lang w:eastAsia="fr-FR"/>
              </w:rPr>
              <w:t>25</w:t>
            </w:r>
          </w:p>
        </w:tc>
        <w:tc>
          <w:tcPr>
            <w:tcW w:w="1185" w:type="dxa"/>
            <w:tcBorders>
              <w:top w:val="nil"/>
              <w:bottom w:val="nil"/>
            </w:tcBorders>
            <w:vAlign w:val="center"/>
          </w:tcPr>
          <w:p w14:paraId="39E42407" w14:textId="77777777" w:rsidR="008A19C5" w:rsidRPr="00775CE7" w:rsidRDefault="008A19C5" w:rsidP="008A19C5">
            <w:pPr>
              <w:autoSpaceDE w:val="0"/>
              <w:autoSpaceDN w:val="0"/>
              <w:adjustRightInd w:val="0"/>
              <w:snapToGrid w:val="0"/>
              <w:spacing w:before="60" w:after="0" w:line="240" w:lineRule="auto"/>
              <w:jc w:val="center"/>
              <w:rPr>
                <w:rFonts w:ascii="Times New Roman" w:eastAsia="Times New Roman" w:hAnsi="Times New Roman" w:cs="Times New Roman"/>
                <w:b/>
                <w:color w:val="365F91" w:themeColor="accent1" w:themeShade="BF"/>
                <w:sz w:val="20"/>
                <w:szCs w:val="20"/>
                <w:lang w:eastAsia="fr-FR"/>
              </w:rPr>
            </w:pPr>
            <w:r w:rsidRPr="00775CE7">
              <w:rPr>
                <w:rFonts w:ascii="Times New Roman" w:eastAsia="Times New Roman" w:hAnsi="Times New Roman" w:cs="Times New Roman"/>
                <w:b/>
                <w:color w:val="365F91" w:themeColor="accent1" w:themeShade="BF"/>
                <w:sz w:val="20"/>
                <w:szCs w:val="20"/>
                <w:lang w:eastAsia="fr-FR"/>
              </w:rPr>
              <w:t>-3.0--6.0</w:t>
            </w:r>
            <w:r w:rsidRPr="00775CE7">
              <w:rPr>
                <w:rFonts w:ascii="Times New Roman" w:eastAsia="Times New Roman" w:hAnsi="Times New Roman" w:cs="Times New Roman"/>
                <w:b/>
                <w:color w:val="365F91" w:themeColor="accent1" w:themeShade="BF"/>
                <w:sz w:val="20"/>
                <w:szCs w:val="20"/>
                <w:lang w:eastAsia="fr-FR"/>
              </w:rPr>
              <w:br/>
            </w:r>
            <w:r w:rsidRPr="00775CE7">
              <w:rPr>
                <w:rFonts w:ascii="Times New Roman" w:eastAsia="Times New Roman" w:hAnsi="Times New Roman" w:cs="Times New Roman"/>
                <w:b/>
                <w:color w:val="943634" w:themeColor="accent2" w:themeShade="BF"/>
                <w:sz w:val="20"/>
                <w:szCs w:val="20"/>
                <w:lang w:eastAsia="fr-FR"/>
              </w:rPr>
              <w:t>-3.3--6.2</w:t>
            </w:r>
            <w:r w:rsidRPr="00775CE7">
              <w:rPr>
                <w:rFonts w:ascii="Times New Roman" w:eastAsia="Times New Roman" w:hAnsi="Times New Roman" w:cs="Times New Roman"/>
                <w:b/>
                <w:sz w:val="20"/>
                <w:szCs w:val="20"/>
                <w:lang w:eastAsia="fr-FR"/>
              </w:rPr>
              <w:br/>
            </w:r>
            <w:r w:rsidRPr="00775CE7">
              <w:rPr>
                <w:rFonts w:ascii="Times New Roman" w:eastAsia="Times New Roman" w:hAnsi="Times New Roman" w:cs="Times New Roman"/>
                <w:b/>
                <w:color w:val="948A54" w:themeColor="background2" w:themeShade="80"/>
                <w:sz w:val="20"/>
                <w:szCs w:val="20"/>
                <w:lang w:eastAsia="fr-FR"/>
              </w:rPr>
              <w:t>-5.2--7.7</w:t>
            </w:r>
          </w:p>
        </w:tc>
        <w:tc>
          <w:tcPr>
            <w:tcW w:w="1185" w:type="dxa"/>
            <w:tcBorders>
              <w:top w:val="nil"/>
              <w:bottom w:val="nil"/>
            </w:tcBorders>
            <w:vAlign w:val="center"/>
          </w:tcPr>
          <w:p w14:paraId="004705ED" w14:textId="77777777" w:rsidR="008A19C5" w:rsidRPr="00775CE7" w:rsidRDefault="008A19C5" w:rsidP="008A19C5">
            <w:pPr>
              <w:autoSpaceDE w:val="0"/>
              <w:autoSpaceDN w:val="0"/>
              <w:adjustRightInd w:val="0"/>
              <w:snapToGrid w:val="0"/>
              <w:spacing w:before="60" w:after="0" w:line="240" w:lineRule="auto"/>
              <w:jc w:val="center"/>
              <w:rPr>
                <w:rFonts w:ascii="Times New Roman" w:eastAsia="Times New Roman" w:hAnsi="Times New Roman" w:cs="Times New Roman"/>
                <w:b/>
                <w:sz w:val="20"/>
                <w:szCs w:val="20"/>
                <w:lang w:eastAsia="fr-FR"/>
              </w:rPr>
            </w:pPr>
            <w:r w:rsidRPr="00775CE7">
              <w:rPr>
                <w:rFonts w:ascii="Times New Roman" w:eastAsia="Times New Roman" w:hAnsi="Times New Roman" w:cs="Times New Roman"/>
                <w:b/>
                <w:color w:val="365F91" w:themeColor="accent1" w:themeShade="BF"/>
                <w:sz w:val="20"/>
                <w:szCs w:val="20"/>
                <w:lang w:eastAsia="fr-FR"/>
              </w:rPr>
              <w:t>13.0-16.1</w:t>
            </w:r>
            <w:r w:rsidRPr="00775CE7">
              <w:rPr>
                <w:rFonts w:ascii="Times New Roman" w:eastAsia="Times New Roman" w:hAnsi="Times New Roman" w:cs="Times New Roman"/>
                <w:b/>
                <w:color w:val="365F91" w:themeColor="accent1" w:themeShade="BF"/>
                <w:sz w:val="20"/>
                <w:szCs w:val="20"/>
                <w:lang w:eastAsia="fr-FR"/>
              </w:rPr>
              <w:br/>
            </w:r>
            <w:r w:rsidRPr="00775CE7">
              <w:rPr>
                <w:rFonts w:ascii="Times New Roman" w:eastAsia="Times New Roman" w:hAnsi="Times New Roman" w:cs="Times New Roman"/>
                <w:b/>
                <w:color w:val="943634" w:themeColor="accent2" w:themeShade="BF"/>
                <w:sz w:val="20"/>
                <w:szCs w:val="20"/>
                <w:lang w:eastAsia="fr-FR"/>
              </w:rPr>
              <w:t>13.3-16.3</w:t>
            </w:r>
            <w:r w:rsidRPr="00775CE7">
              <w:rPr>
                <w:rFonts w:ascii="Times New Roman" w:eastAsia="Times New Roman" w:hAnsi="Times New Roman" w:cs="Times New Roman"/>
                <w:b/>
                <w:sz w:val="20"/>
                <w:szCs w:val="20"/>
                <w:lang w:eastAsia="fr-FR"/>
              </w:rPr>
              <w:br/>
            </w:r>
            <w:r w:rsidRPr="00775CE7">
              <w:rPr>
                <w:rFonts w:ascii="Times New Roman" w:eastAsia="Times New Roman" w:hAnsi="Times New Roman" w:cs="Times New Roman"/>
                <w:b/>
                <w:color w:val="948A54" w:themeColor="background2" w:themeShade="80"/>
                <w:sz w:val="20"/>
                <w:szCs w:val="20"/>
                <w:lang w:eastAsia="fr-FR"/>
              </w:rPr>
              <w:t>15.2-17.8</w:t>
            </w:r>
          </w:p>
        </w:tc>
        <w:tc>
          <w:tcPr>
            <w:tcW w:w="1185" w:type="dxa"/>
            <w:tcBorders>
              <w:top w:val="nil"/>
              <w:bottom w:val="nil"/>
            </w:tcBorders>
            <w:shd w:val="clear" w:color="auto" w:fill="auto"/>
            <w:vAlign w:val="center"/>
          </w:tcPr>
          <w:p w14:paraId="3FBAFF5C" w14:textId="77777777" w:rsidR="008A19C5" w:rsidRPr="00775CE7" w:rsidRDefault="008A19C5" w:rsidP="008A19C5">
            <w:pPr>
              <w:autoSpaceDE w:val="0"/>
              <w:autoSpaceDN w:val="0"/>
              <w:adjustRightInd w:val="0"/>
              <w:snapToGrid w:val="0"/>
              <w:spacing w:before="60" w:after="0" w:line="240" w:lineRule="auto"/>
              <w:jc w:val="center"/>
              <w:rPr>
                <w:rFonts w:ascii="Times New Roman" w:eastAsia="Times New Roman" w:hAnsi="Times New Roman" w:cs="Times New Roman"/>
                <w:b/>
                <w:sz w:val="20"/>
                <w:szCs w:val="20"/>
                <w:lang w:eastAsia="fr-FR"/>
              </w:rPr>
            </w:pPr>
            <w:r w:rsidRPr="00775CE7">
              <w:rPr>
                <w:rFonts w:ascii="Times New Roman" w:eastAsia="Times New Roman" w:hAnsi="Times New Roman" w:cs="Times New Roman"/>
                <w:b/>
                <w:color w:val="365F91" w:themeColor="accent1" w:themeShade="BF"/>
                <w:sz w:val="20"/>
                <w:szCs w:val="20"/>
                <w:lang w:eastAsia="fr-FR"/>
              </w:rPr>
              <w:t>9.7-6.9</w:t>
            </w:r>
            <w:r w:rsidRPr="00775CE7">
              <w:rPr>
                <w:rFonts w:ascii="Times New Roman" w:eastAsia="Times New Roman" w:hAnsi="Times New Roman" w:cs="Times New Roman"/>
                <w:b/>
                <w:color w:val="365F91" w:themeColor="accent1" w:themeShade="BF"/>
                <w:sz w:val="20"/>
                <w:szCs w:val="20"/>
                <w:lang w:eastAsia="fr-FR"/>
              </w:rPr>
              <w:br/>
            </w:r>
            <w:r w:rsidRPr="00775CE7">
              <w:rPr>
                <w:rFonts w:ascii="Times New Roman" w:eastAsia="Times New Roman" w:hAnsi="Times New Roman" w:cs="Times New Roman"/>
                <w:b/>
                <w:color w:val="943634" w:themeColor="accent2" w:themeShade="BF"/>
                <w:sz w:val="20"/>
                <w:szCs w:val="20"/>
                <w:lang w:eastAsia="fr-FR"/>
              </w:rPr>
              <w:t>9.4-6.7</w:t>
            </w:r>
            <w:r w:rsidRPr="00775CE7">
              <w:rPr>
                <w:rFonts w:ascii="Times New Roman" w:eastAsia="Times New Roman" w:hAnsi="Times New Roman" w:cs="Times New Roman"/>
                <w:b/>
                <w:sz w:val="20"/>
                <w:szCs w:val="20"/>
                <w:lang w:eastAsia="fr-FR"/>
              </w:rPr>
              <w:br/>
            </w:r>
            <w:r w:rsidRPr="00775CE7">
              <w:rPr>
                <w:rFonts w:ascii="Times New Roman" w:eastAsia="Times New Roman" w:hAnsi="Times New Roman" w:cs="Times New Roman"/>
                <w:b/>
                <w:color w:val="948A54" w:themeColor="background2" w:themeShade="80"/>
                <w:sz w:val="20"/>
                <w:szCs w:val="20"/>
                <w:lang w:eastAsia="fr-FR"/>
              </w:rPr>
              <w:t>7.3-5.0</w:t>
            </w:r>
          </w:p>
        </w:tc>
        <w:tc>
          <w:tcPr>
            <w:tcW w:w="1185" w:type="dxa"/>
            <w:tcBorders>
              <w:top w:val="nil"/>
              <w:bottom w:val="nil"/>
            </w:tcBorders>
            <w:shd w:val="clear" w:color="auto" w:fill="auto"/>
            <w:vAlign w:val="center"/>
          </w:tcPr>
          <w:p w14:paraId="03E330FD" w14:textId="77777777" w:rsidR="008A19C5" w:rsidRPr="00775CE7" w:rsidRDefault="008A19C5" w:rsidP="008A19C5">
            <w:pPr>
              <w:autoSpaceDE w:val="0"/>
              <w:autoSpaceDN w:val="0"/>
              <w:adjustRightInd w:val="0"/>
              <w:snapToGrid w:val="0"/>
              <w:spacing w:before="60" w:after="0" w:line="240" w:lineRule="auto"/>
              <w:jc w:val="center"/>
              <w:rPr>
                <w:rFonts w:ascii="Times New Roman" w:eastAsia="Times New Roman" w:hAnsi="Times New Roman" w:cs="Times New Roman"/>
                <w:b/>
                <w:sz w:val="20"/>
                <w:szCs w:val="20"/>
                <w:lang w:eastAsia="fr-FR"/>
              </w:rPr>
            </w:pPr>
            <w:r w:rsidRPr="00775CE7">
              <w:rPr>
                <w:rFonts w:ascii="Times New Roman" w:eastAsia="Times New Roman" w:hAnsi="Times New Roman" w:cs="Times New Roman"/>
                <w:b/>
                <w:color w:val="365F91" w:themeColor="accent1" w:themeShade="BF"/>
                <w:sz w:val="20"/>
                <w:szCs w:val="20"/>
                <w:lang w:eastAsia="fr-FR"/>
              </w:rPr>
              <w:t>11.5-14.6</w:t>
            </w:r>
            <w:r w:rsidRPr="00775CE7">
              <w:rPr>
                <w:rFonts w:ascii="Times New Roman" w:eastAsia="Times New Roman" w:hAnsi="Times New Roman" w:cs="Times New Roman"/>
                <w:b/>
                <w:color w:val="365F91" w:themeColor="accent1" w:themeShade="BF"/>
                <w:sz w:val="20"/>
                <w:szCs w:val="20"/>
                <w:lang w:eastAsia="fr-FR"/>
              </w:rPr>
              <w:br/>
            </w:r>
            <w:r w:rsidRPr="00775CE7">
              <w:rPr>
                <w:rFonts w:ascii="Times New Roman" w:eastAsia="Times New Roman" w:hAnsi="Times New Roman" w:cs="Times New Roman"/>
                <w:b/>
                <w:color w:val="943634" w:themeColor="accent2" w:themeShade="BF"/>
                <w:sz w:val="20"/>
                <w:szCs w:val="20"/>
                <w:lang w:eastAsia="fr-FR"/>
              </w:rPr>
              <w:t>11.8-14.8</w:t>
            </w:r>
            <w:r w:rsidRPr="00775CE7">
              <w:rPr>
                <w:rFonts w:ascii="Times New Roman" w:eastAsia="Times New Roman" w:hAnsi="Times New Roman" w:cs="Times New Roman"/>
                <w:b/>
                <w:color w:val="365F91" w:themeColor="accent1" w:themeShade="BF"/>
                <w:sz w:val="20"/>
                <w:szCs w:val="20"/>
                <w:lang w:eastAsia="fr-FR"/>
              </w:rPr>
              <w:br/>
            </w:r>
            <w:r w:rsidRPr="00775CE7">
              <w:rPr>
                <w:rFonts w:ascii="Times New Roman" w:eastAsia="Times New Roman" w:hAnsi="Times New Roman" w:cs="Times New Roman"/>
                <w:b/>
                <w:color w:val="948A54" w:themeColor="background2" w:themeShade="80"/>
                <w:sz w:val="20"/>
                <w:szCs w:val="20"/>
                <w:lang w:eastAsia="fr-FR"/>
              </w:rPr>
              <w:t>13.9-16.6</w:t>
            </w:r>
          </w:p>
        </w:tc>
        <w:tc>
          <w:tcPr>
            <w:tcW w:w="1184" w:type="dxa"/>
            <w:tcBorders>
              <w:top w:val="nil"/>
              <w:bottom w:val="nil"/>
            </w:tcBorders>
            <w:shd w:val="clear" w:color="auto" w:fill="auto"/>
            <w:noWrap/>
            <w:vAlign w:val="center"/>
          </w:tcPr>
          <w:p w14:paraId="3DDAFD20" w14:textId="77777777" w:rsidR="008A19C5" w:rsidRPr="00775CE7" w:rsidRDefault="008A19C5" w:rsidP="008A19C5">
            <w:pPr>
              <w:autoSpaceDE w:val="0"/>
              <w:autoSpaceDN w:val="0"/>
              <w:adjustRightInd w:val="0"/>
              <w:snapToGrid w:val="0"/>
              <w:spacing w:before="60" w:after="0" w:line="240" w:lineRule="auto"/>
              <w:jc w:val="center"/>
              <w:rPr>
                <w:rFonts w:ascii="Times New Roman" w:eastAsia="Times New Roman" w:hAnsi="Times New Roman" w:cs="Times New Roman"/>
                <w:b/>
                <w:sz w:val="20"/>
                <w:szCs w:val="20"/>
                <w:lang w:eastAsia="fr-FR"/>
              </w:rPr>
            </w:pPr>
            <w:r w:rsidRPr="00775CE7">
              <w:rPr>
                <w:rFonts w:ascii="Times New Roman" w:eastAsia="Times New Roman" w:hAnsi="Times New Roman" w:cs="Times New Roman"/>
                <w:b/>
                <w:color w:val="365F91" w:themeColor="accent1" w:themeShade="BF"/>
                <w:sz w:val="20"/>
                <w:szCs w:val="20"/>
                <w:lang w:eastAsia="fr-FR"/>
              </w:rPr>
              <w:t>23.6-21.3</w:t>
            </w:r>
            <w:r w:rsidRPr="00775CE7">
              <w:rPr>
                <w:rFonts w:ascii="Times New Roman" w:eastAsia="Times New Roman" w:hAnsi="Times New Roman" w:cs="Times New Roman"/>
                <w:b/>
                <w:color w:val="365F91" w:themeColor="accent1" w:themeShade="BF"/>
                <w:sz w:val="20"/>
                <w:szCs w:val="20"/>
                <w:lang w:eastAsia="fr-FR"/>
              </w:rPr>
              <w:br/>
            </w:r>
            <w:r w:rsidRPr="00775CE7">
              <w:rPr>
                <w:rFonts w:ascii="Times New Roman" w:eastAsia="Times New Roman" w:hAnsi="Times New Roman" w:cs="Times New Roman"/>
                <w:b/>
                <w:color w:val="943634" w:themeColor="accent2" w:themeShade="BF"/>
                <w:sz w:val="20"/>
                <w:szCs w:val="20"/>
                <w:lang w:eastAsia="fr-FR"/>
              </w:rPr>
              <w:t>23.4-21.0</w:t>
            </w:r>
            <w:r w:rsidRPr="00775CE7">
              <w:rPr>
                <w:rFonts w:ascii="Times New Roman" w:eastAsia="Times New Roman" w:hAnsi="Times New Roman" w:cs="Times New Roman"/>
                <w:b/>
                <w:color w:val="943634" w:themeColor="accent2" w:themeShade="BF"/>
                <w:sz w:val="20"/>
                <w:szCs w:val="20"/>
                <w:lang w:eastAsia="fr-FR"/>
              </w:rPr>
              <w:br/>
            </w:r>
            <w:r w:rsidRPr="00775CE7">
              <w:rPr>
                <w:rFonts w:ascii="Times New Roman" w:eastAsia="Times New Roman" w:hAnsi="Times New Roman" w:cs="Times New Roman"/>
                <w:b/>
                <w:color w:val="948A54" w:themeColor="background2" w:themeShade="80"/>
                <w:sz w:val="20"/>
                <w:szCs w:val="20"/>
                <w:lang w:eastAsia="fr-FR"/>
              </w:rPr>
              <w:t>21.1-19.1</w:t>
            </w:r>
          </w:p>
        </w:tc>
        <w:tc>
          <w:tcPr>
            <w:tcW w:w="1185" w:type="dxa"/>
            <w:tcBorders>
              <w:top w:val="nil"/>
              <w:bottom w:val="nil"/>
            </w:tcBorders>
            <w:shd w:val="clear" w:color="auto" w:fill="auto"/>
          </w:tcPr>
          <w:p w14:paraId="152D9CB4" w14:textId="77777777" w:rsidR="008A19C5" w:rsidRPr="00775CE7" w:rsidRDefault="008A19C5" w:rsidP="008A19C5">
            <w:pPr>
              <w:autoSpaceDE w:val="0"/>
              <w:autoSpaceDN w:val="0"/>
              <w:adjustRightInd w:val="0"/>
              <w:snapToGrid w:val="0"/>
              <w:spacing w:before="60" w:after="0" w:line="240" w:lineRule="auto"/>
              <w:jc w:val="center"/>
              <w:rPr>
                <w:rFonts w:ascii="Times New Roman" w:eastAsia="Times New Roman" w:hAnsi="Times New Roman" w:cs="Times New Roman"/>
                <w:b/>
                <w:sz w:val="20"/>
                <w:szCs w:val="20"/>
                <w:lang w:eastAsia="fr-FR"/>
              </w:rPr>
            </w:pPr>
            <w:r w:rsidRPr="00775CE7">
              <w:rPr>
                <w:rFonts w:ascii="Times New Roman" w:eastAsia="Times New Roman" w:hAnsi="Times New Roman" w:cs="Times New Roman"/>
                <w:b/>
                <w:color w:val="365F91" w:themeColor="accent1" w:themeShade="BF"/>
                <w:sz w:val="20"/>
                <w:szCs w:val="20"/>
                <w:lang w:eastAsia="fr-FR"/>
              </w:rPr>
              <w:t>10.0-13.1</w:t>
            </w:r>
            <w:r w:rsidRPr="00775CE7">
              <w:rPr>
                <w:rFonts w:ascii="Times New Roman" w:eastAsia="Times New Roman" w:hAnsi="Times New Roman" w:cs="Times New Roman"/>
                <w:b/>
                <w:color w:val="365F91" w:themeColor="accent1" w:themeShade="BF"/>
                <w:sz w:val="20"/>
                <w:szCs w:val="20"/>
                <w:lang w:eastAsia="fr-FR"/>
              </w:rPr>
              <w:br/>
            </w:r>
            <w:r w:rsidRPr="00775CE7">
              <w:rPr>
                <w:rFonts w:ascii="Times New Roman" w:eastAsia="Times New Roman" w:hAnsi="Times New Roman" w:cs="Times New Roman"/>
                <w:b/>
                <w:color w:val="943634" w:themeColor="accent2" w:themeShade="BF"/>
                <w:sz w:val="20"/>
                <w:szCs w:val="20"/>
                <w:lang w:eastAsia="fr-FR"/>
              </w:rPr>
              <w:t>10.3-13.3</w:t>
            </w:r>
            <w:r w:rsidRPr="00775CE7">
              <w:rPr>
                <w:rFonts w:ascii="Times New Roman" w:eastAsia="Times New Roman" w:hAnsi="Times New Roman" w:cs="Times New Roman"/>
                <w:b/>
                <w:color w:val="943634" w:themeColor="accent2" w:themeShade="BF"/>
                <w:sz w:val="20"/>
                <w:szCs w:val="20"/>
                <w:lang w:eastAsia="fr-FR"/>
              </w:rPr>
              <w:br/>
            </w:r>
            <w:r w:rsidRPr="00775CE7">
              <w:rPr>
                <w:rFonts w:ascii="Times New Roman" w:eastAsia="Times New Roman" w:hAnsi="Times New Roman" w:cs="Times New Roman"/>
                <w:b/>
                <w:color w:val="948A54" w:themeColor="background2" w:themeShade="80"/>
                <w:sz w:val="20"/>
                <w:szCs w:val="20"/>
                <w:lang w:eastAsia="fr-FR"/>
              </w:rPr>
              <w:t>12.7-15.3</w:t>
            </w:r>
          </w:p>
        </w:tc>
        <w:tc>
          <w:tcPr>
            <w:tcW w:w="1184" w:type="dxa"/>
            <w:tcBorders>
              <w:top w:val="nil"/>
              <w:bottom w:val="nil"/>
            </w:tcBorders>
            <w:shd w:val="clear" w:color="auto" w:fill="auto"/>
            <w:vAlign w:val="center"/>
          </w:tcPr>
          <w:p w14:paraId="11E16455" w14:textId="77777777" w:rsidR="008A19C5" w:rsidRPr="00775CE7" w:rsidRDefault="008A19C5" w:rsidP="008A19C5">
            <w:pPr>
              <w:autoSpaceDE w:val="0"/>
              <w:autoSpaceDN w:val="0"/>
              <w:adjustRightInd w:val="0"/>
              <w:snapToGrid w:val="0"/>
              <w:spacing w:before="60" w:after="0" w:line="240" w:lineRule="auto"/>
              <w:jc w:val="center"/>
              <w:rPr>
                <w:rFonts w:ascii="Times New Roman" w:eastAsia="Times New Roman" w:hAnsi="Times New Roman" w:cs="Times New Roman"/>
                <w:b/>
                <w:sz w:val="20"/>
                <w:szCs w:val="20"/>
                <w:lang w:eastAsia="fr-FR"/>
              </w:rPr>
            </w:pPr>
            <w:r w:rsidRPr="00775CE7">
              <w:rPr>
                <w:rFonts w:ascii="Times New Roman" w:eastAsia="Times New Roman" w:hAnsi="Times New Roman" w:cs="Times New Roman"/>
                <w:b/>
                <w:color w:val="365F91" w:themeColor="accent1" w:themeShade="BF"/>
                <w:sz w:val="20"/>
                <w:szCs w:val="20"/>
                <w:lang w:eastAsia="fr-FR"/>
              </w:rPr>
              <w:t>39.0-37.1</w:t>
            </w:r>
            <w:r w:rsidRPr="00775CE7">
              <w:rPr>
                <w:rFonts w:ascii="Times New Roman" w:eastAsia="Times New Roman" w:hAnsi="Times New Roman" w:cs="Times New Roman"/>
                <w:b/>
                <w:sz w:val="20"/>
                <w:szCs w:val="20"/>
                <w:lang w:eastAsia="fr-FR"/>
              </w:rPr>
              <w:br/>
            </w:r>
            <w:r w:rsidRPr="00775CE7">
              <w:rPr>
                <w:rFonts w:ascii="Times New Roman" w:eastAsia="Times New Roman" w:hAnsi="Times New Roman" w:cs="Times New Roman"/>
                <w:b/>
                <w:color w:val="943634" w:themeColor="accent2" w:themeShade="BF"/>
                <w:sz w:val="20"/>
                <w:szCs w:val="20"/>
                <w:lang w:eastAsia="fr-FR"/>
              </w:rPr>
              <w:t>38.9-36.9</w:t>
            </w:r>
            <w:r w:rsidRPr="00775CE7">
              <w:rPr>
                <w:rFonts w:ascii="Times New Roman" w:eastAsia="Times New Roman" w:hAnsi="Times New Roman" w:cs="Times New Roman"/>
                <w:b/>
                <w:sz w:val="20"/>
                <w:szCs w:val="20"/>
                <w:lang w:eastAsia="fr-FR"/>
              </w:rPr>
              <w:br/>
            </w:r>
            <w:r w:rsidRPr="00775CE7">
              <w:rPr>
                <w:rFonts w:ascii="Times New Roman" w:eastAsia="Times New Roman" w:hAnsi="Times New Roman" w:cs="Times New Roman"/>
                <w:b/>
                <w:color w:val="948A54" w:themeColor="background2" w:themeShade="80"/>
                <w:sz w:val="20"/>
                <w:szCs w:val="20"/>
                <w:lang w:eastAsia="fr-FR"/>
              </w:rPr>
              <w:t>36.6-34.9</w:t>
            </w:r>
          </w:p>
        </w:tc>
        <w:tc>
          <w:tcPr>
            <w:tcW w:w="1185" w:type="dxa"/>
            <w:tcBorders>
              <w:top w:val="nil"/>
              <w:bottom w:val="nil"/>
            </w:tcBorders>
            <w:shd w:val="clear" w:color="auto" w:fill="auto"/>
            <w:vAlign w:val="center"/>
          </w:tcPr>
          <w:p w14:paraId="0ED2DA89" w14:textId="77777777" w:rsidR="008A19C5" w:rsidRPr="00775CE7" w:rsidRDefault="008A19C5" w:rsidP="008A19C5">
            <w:pPr>
              <w:autoSpaceDE w:val="0"/>
              <w:autoSpaceDN w:val="0"/>
              <w:adjustRightInd w:val="0"/>
              <w:snapToGrid w:val="0"/>
              <w:spacing w:before="60" w:after="0" w:line="240" w:lineRule="auto"/>
              <w:jc w:val="center"/>
              <w:rPr>
                <w:rFonts w:ascii="Times New Roman" w:eastAsia="Times New Roman" w:hAnsi="Times New Roman" w:cs="Times New Roman"/>
                <w:b/>
                <w:sz w:val="20"/>
                <w:szCs w:val="20"/>
                <w:lang w:eastAsia="fr-FR"/>
              </w:rPr>
            </w:pPr>
            <w:r w:rsidRPr="00775CE7">
              <w:rPr>
                <w:rFonts w:ascii="Times New Roman" w:eastAsia="Times New Roman" w:hAnsi="Times New Roman" w:cs="Times New Roman"/>
                <w:b/>
                <w:color w:val="365F91" w:themeColor="accent1" w:themeShade="BF"/>
                <w:sz w:val="20"/>
                <w:szCs w:val="20"/>
                <w:lang w:eastAsia="fr-FR"/>
              </w:rPr>
              <w:t>8.6-11.6</w:t>
            </w:r>
            <w:r w:rsidRPr="00775CE7">
              <w:rPr>
                <w:rFonts w:ascii="Times New Roman" w:eastAsia="Times New Roman" w:hAnsi="Times New Roman" w:cs="Times New Roman"/>
                <w:b/>
                <w:color w:val="365F91" w:themeColor="accent1" w:themeShade="BF"/>
                <w:sz w:val="20"/>
                <w:szCs w:val="20"/>
                <w:lang w:eastAsia="fr-FR"/>
              </w:rPr>
              <w:br/>
            </w:r>
            <w:r w:rsidRPr="00775CE7">
              <w:rPr>
                <w:rFonts w:ascii="Times New Roman" w:eastAsia="Times New Roman" w:hAnsi="Times New Roman" w:cs="Times New Roman"/>
                <w:b/>
                <w:color w:val="943634" w:themeColor="accent2" w:themeShade="BF"/>
                <w:sz w:val="20"/>
                <w:szCs w:val="20"/>
                <w:lang w:eastAsia="fr-FR"/>
              </w:rPr>
              <w:t>9.0-11.9</w:t>
            </w:r>
            <w:r w:rsidRPr="00775CE7">
              <w:rPr>
                <w:rFonts w:ascii="Times New Roman" w:eastAsia="Times New Roman" w:hAnsi="Times New Roman" w:cs="Times New Roman"/>
                <w:b/>
                <w:sz w:val="20"/>
                <w:szCs w:val="20"/>
                <w:lang w:eastAsia="fr-FR"/>
              </w:rPr>
              <w:br/>
            </w:r>
            <w:r w:rsidRPr="00775CE7">
              <w:rPr>
                <w:rFonts w:ascii="Times New Roman" w:eastAsia="Times New Roman" w:hAnsi="Times New Roman" w:cs="Times New Roman"/>
                <w:b/>
                <w:color w:val="948A54" w:themeColor="background2" w:themeShade="80"/>
                <w:sz w:val="20"/>
                <w:szCs w:val="20"/>
                <w:lang w:eastAsia="fr-FR"/>
              </w:rPr>
              <w:t>11.6-14.1</w:t>
            </w:r>
          </w:p>
        </w:tc>
      </w:tr>
      <w:tr w:rsidR="008A19C5" w:rsidRPr="00775CE7" w14:paraId="5680D13A" w14:textId="77777777" w:rsidTr="008A19C5">
        <w:trPr>
          <w:trHeight w:val="552"/>
        </w:trPr>
        <w:tc>
          <w:tcPr>
            <w:tcW w:w="1183" w:type="dxa"/>
            <w:tcBorders>
              <w:top w:val="nil"/>
              <w:bottom w:val="nil"/>
            </w:tcBorders>
            <w:shd w:val="clear" w:color="auto" w:fill="auto"/>
            <w:vAlign w:val="center"/>
          </w:tcPr>
          <w:p w14:paraId="5C9756F5" w14:textId="77777777" w:rsidR="008A19C5" w:rsidRPr="00775CE7" w:rsidRDefault="008A19C5" w:rsidP="008A19C5">
            <w:pPr>
              <w:autoSpaceDE w:val="0"/>
              <w:autoSpaceDN w:val="0"/>
              <w:adjustRightInd w:val="0"/>
              <w:snapToGrid w:val="0"/>
              <w:spacing w:before="60" w:after="0" w:line="240" w:lineRule="auto"/>
              <w:jc w:val="center"/>
              <w:rPr>
                <w:rFonts w:ascii="Times New Roman" w:eastAsia="Times New Roman" w:hAnsi="Times New Roman" w:cs="Times New Roman"/>
                <w:b/>
                <w:sz w:val="20"/>
                <w:szCs w:val="20"/>
                <w:lang w:eastAsia="fr-FR"/>
              </w:rPr>
            </w:pPr>
            <w:r w:rsidRPr="00775CE7">
              <w:rPr>
                <w:rFonts w:ascii="Times New Roman" w:eastAsia="Times New Roman" w:hAnsi="Times New Roman" w:cs="Times New Roman"/>
                <w:b/>
                <w:sz w:val="20"/>
                <w:szCs w:val="20"/>
                <w:lang w:eastAsia="fr-FR"/>
              </w:rPr>
              <w:t>30</w:t>
            </w:r>
          </w:p>
        </w:tc>
        <w:tc>
          <w:tcPr>
            <w:tcW w:w="1185" w:type="dxa"/>
            <w:tcBorders>
              <w:top w:val="nil"/>
              <w:bottom w:val="nil"/>
            </w:tcBorders>
            <w:vAlign w:val="center"/>
          </w:tcPr>
          <w:p w14:paraId="34EFE566" w14:textId="77777777" w:rsidR="008A19C5" w:rsidRPr="00775CE7" w:rsidRDefault="008A19C5" w:rsidP="008A19C5">
            <w:pPr>
              <w:autoSpaceDE w:val="0"/>
              <w:autoSpaceDN w:val="0"/>
              <w:adjustRightInd w:val="0"/>
              <w:snapToGrid w:val="0"/>
              <w:spacing w:before="60" w:after="0" w:line="240" w:lineRule="auto"/>
              <w:jc w:val="center"/>
              <w:rPr>
                <w:rFonts w:ascii="Times New Roman" w:eastAsia="Times New Roman" w:hAnsi="Times New Roman" w:cs="Times New Roman"/>
                <w:b/>
                <w:sz w:val="20"/>
                <w:szCs w:val="20"/>
                <w:lang w:eastAsia="fr-FR"/>
              </w:rPr>
            </w:pPr>
            <w:r w:rsidRPr="00775CE7">
              <w:rPr>
                <w:rFonts w:ascii="Times New Roman" w:eastAsia="Times New Roman" w:hAnsi="Times New Roman" w:cs="Times New Roman"/>
                <w:b/>
                <w:color w:val="365F91" w:themeColor="accent1" w:themeShade="BF"/>
                <w:sz w:val="20"/>
                <w:szCs w:val="20"/>
                <w:lang w:eastAsia="fr-FR"/>
              </w:rPr>
              <w:t>-3.7--6.9</w:t>
            </w:r>
            <w:r w:rsidRPr="00775CE7">
              <w:rPr>
                <w:rFonts w:ascii="Times New Roman" w:eastAsia="Times New Roman" w:hAnsi="Times New Roman" w:cs="Times New Roman"/>
                <w:b/>
                <w:color w:val="365F91" w:themeColor="accent1" w:themeShade="BF"/>
                <w:sz w:val="20"/>
                <w:szCs w:val="20"/>
                <w:lang w:eastAsia="fr-FR"/>
              </w:rPr>
              <w:br/>
            </w:r>
            <w:r w:rsidRPr="00775CE7">
              <w:rPr>
                <w:rFonts w:ascii="Times New Roman" w:eastAsia="Times New Roman" w:hAnsi="Times New Roman" w:cs="Times New Roman"/>
                <w:b/>
                <w:color w:val="943634" w:themeColor="accent2" w:themeShade="BF"/>
                <w:sz w:val="20"/>
                <w:szCs w:val="20"/>
                <w:lang w:eastAsia="fr-FR"/>
              </w:rPr>
              <w:t>-4.0--7.1</w:t>
            </w:r>
            <w:r w:rsidRPr="00775CE7">
              <w:rPr>
                <w:rFonts w:ascii="Times New Roman" w:eastAsia="Times New Roman" w:hAnsi="Times New Roman" w:cs="Times New Roman"/>
                <w:b/>
                <w:sz w:val="20"/>
                <w:szCs w:val="20"/>
                <w:lang w:eastAsia="fr-FR"/>
              </w:rPr>
              <w:br/>
            </w:r>
            <w:r w:rsidRPr="00775CE7">
              <w:rPr>
                <w:rFonts w:ascii="Times New Roman" w:eastAsia="Times New Roman" w:hAnsi="Times New Roman" w:cs="Times New Roman"/>
                <w:b/>
                <w:color w:val="948A54" w:themeColor="background2" w:themeShade="80"/>
                <w:sz w:val="20"/>
                <w:szCs w:val="20"/>
                <w:lang w:eastAsia="fr-FR"/>
              </w:rPr>
              <w:t>-6.5--9.3</w:t>
            </w:r>
          </w:p>
        </w:tc>
        <w:tc>
          <w:tcPr>
            <w:tcW w:w="1185" w:type="dxa"/>
            <w:tcBorders>
              <w:top w:val="nil"/>
              <w:bottom w:val="nil"/>
            </w:tcBorders>
            <w:vAlign w:val="center"/>
          </w:tcPr>
          <w:p w14:paraId="72403F36" w14:textId="77777777" w:rsidR="008A19C5" w:rsidRPr="00775CE7" w:rsidRDefault="008A19C5" w:rsidP="008A19C5">
            <w:pPr>
              <w:autoSpaceDE w:val="0"/>
              <w:autoSpaceDN w:val="0"/>
              <w:adjustRightInd w:val="0"/>
              <w:snapToGrid w:val="0"/>
              <w:spacing w:before="60" w:after="0" w:line="240" w:lineRule="auto"/>
              <w:jc w:val="center"/>
              <w:rPr>
                <w:rFonts w:ascii="Times New Roman" w:eastAsia="Times New Roman" w:hAnsi="Times New Roman" w:cs="Times New Roman"/>
                <w:b/>
                <w:sz w:val="20"/>
                <w:szCs w:val="20"/>
                <w:lang w:eastAsia="fr-FR"/>
              </w:rPr>
            </w:pPr>
            <w:r w:rsidRPr="00775CE7">
              <w:rPr>
                <w:rFonts w:ascii="Times New Roman" w:eastAsia="Times New Roman" w:hAnsi="Times New Roman" w:cs="Times New Roman"/>
                <w:b/>
                <w:color w:val="365F91" w:themeColor="accent1" w:themeShade="BF"/>
                <w:sz w:val="20"/>
                <w:szCs w:val="20"/>
                <w:lang w:eastAsia="fr-FR"/>
              </w:rPr>
              <w:t>13.6-16.8</w:t>
            </w:r>
            <w:r w:rsidRPr="00775CE7">
              <w:rPr>
                <w:rFonts w:ascii="Times New Roman" w:eastAsia="Times New Roman" w:hAnsi="Times New Roman" w:cs="Times New Roman"/>
                <w:b/>
                <w:color w:val="365F91" w:themeColor="accent1" w:themeShade="BF"/>
                <w:sz w:val="20"/>
                <w:szCs w:val="20"/>
                <w:lang w:eastAsia="fr-FR"/>
              </w:rPr>
              <w:br/>
            </w:r>
            <w:r w:rsidRPr="00775CE7">
              <w:rPr>
                <w:rFonts w:ascii="Times New Roman" w:eastAsia="Times New Roman" w:hAnsi="Times New Roman" w:cs="Times New Roman"/>
                <w:b/>
                <w:color w:val="943634" w:themeColor="accent2" w:themeShade="BF"/>
                <w:sz w:val="20"/>
                <w:szCs w:val="20"/>
                <w:lang w:eastAsia="fr-FR"/>
              </w:rPr>
              <w:t>13.9-17.1</w:t>
            </w:r>
            <w:r w:rsidRPr="00775CE7">
              <w:rPr>
                <w:rFonts w:ascii="Times New Roman" w:eastAsia="Times New Roman" w:hAnsi="Times New Roman" w:cs="Times New Roman"/>
                <w:b/>
                <w:sz w:val="20"/>
                <w:szCs w:val="20"/>
                <w:lang w:eastAsia="fr-FR"/>
              </w:rPr>
              <w:br/>
            </w:r>
            <w:r w:rsidRPr="00775CE7">
              <w:rPr>
                <w:rFonts w:ascii="Times New Roman" w:eastAsia="Times New Roman" w:hAnsi="Times New Roman" w:cs="Times New Roman"/>
                <w:b/>
                <w:color w:val="948A54" w:themeColor="background2" w:themeShade="80"/>
                <w:sz w:val="20"/>
                <w:szCs w:val="20"/>
                <w:lang w:eastAsia="fr-FR"/>
              </w:rPr>
              <w:t>16.4-19.2</w:t>
            </w:r>
          </w:p>
        </w:tc>
        <w:tc>
          <w:tcPr>
            <w:tcW w:w="1185" w:type="dxa"/>
            <w:tcBorders>
              <w:top w:val="nil"/>
              <w:bottom w:val="nil"/>
            </w:tcBorders>
            <w:shd w:val="clear" w:color="auto" w:fill="auto"/>
            <w:vAlign w:val="center"/>
          </w:tcPr>
          <w:p w14:paraId="25C5ED8F" w14:textId="77777777" w:rsidR="008A19C5" w:rsidRPr="00775CE7" w:rsidRDefault="008A19C5" w:rsidP="008A19C5">
            <w:pPr>
              <w:autoSpaceDE w:val="0"/>
              <w:autoSpaceDN w:val="0"/>
              <w:adjustRightInd w:val="0"/>
              <w:snapToGrid w:val="0"/>
              <w:spacing w:before="60" w:after="0" w:line="240" w:lineRule="auto"/>
              <w:jc w:val="center"/>
              <w:rPr>
                <w:rFonts w:ascii="Times New Roman" w:eastAsia="Times New Roman" w:hAnsi="Times New Roman" w:cs="Times New Roman"/>
                <w:b/>
                <w:sz w:val="20"/>
                <w:szCs w:val="20"/>
                <w:lang w:eastAsia="fr-FR"/>
              </w:rPr>
            </w:pPr>
            <w:r w:rsidRPr="00775CE7">
              <w:rPr>
                <w:rFonts w:ascii="Times New Roman" w:eastAsia="Times New Roman" w:hAnsi="Times New Roman" w:cs="Times New Roman"/>
                <w:b/>
                <w:color w:val="365F91" w:themeColor="accent1" w:themeShade="BF"/>
                <w:sz w:val="20"/>
                <w:szCs w:val="20"/>
                <w:lang w:eastAsia="fr-FR"/>
              </w:rPr>
              <w:t>9.1-6.2</w:t>
            </w:r>
            <w:r w:rsidRPr="00775CE7">
              <w:rPr>
                <w:rFonts w:ascii="Times New Roman" w:eastAsia="Times New Roman" w:hAnsi="Times New Roman" w:cs="Times New Roman"/>
                <w:b/>
                <w:color w:val="365F91" w:themeColor="accent1" w:themeShade="BF"/>
                <w:sz w:val="20"/>
                <w:szCs w:val="20"/>
                <w:lang w:eastAsia="fr-FR"/>
              </w:rPr>
              <w:br/>
            </w:r>
            <w:r w:rsidRPr="00775CE7">
              <w:rPr>
                <w:rFonts w:ascii="Times New Roman" w:eastAsia="Times New Roman" w:hAnsi="Times New Roman" w:cs="Times New Roman"/>
                <w:b/>
                <w:color w:val="943634" w:themeColor="accent2" w:themeShade="BF"/>
                <w:sz w:val="20"/>
                <w:szCs w:val="20"/>
                <w:lang w:eastAsia="fr-FR"/>
              </w:rPr>
              <w:t>8.8-5.9</w:t>
            </w:r>
            <w:r w:rsidRPr="00775CE7">
              <w:rPr>
                <w:rFonts w:ascii="Times New Roman" w:eastAsia="Times New Roman" w:hAnsi="Times New Roman" w:cs="Times New Roman"/>
                <w:b/>
                <w:sz w:val="20"/>
                <w:szCs w:val="20"/>
                <w:lang w:eastAsia="fr-FR"/>
              </w:rPr>
              <w:br/>
            </w:r>
            <w:r w:rsidRPr="00775CE7">
              <w:rPr>
                <w:rFonts w:ascii="Times New Roman" w:eastAsia="Times New Roman" w:hAnsi="Times New Roman" w:cs="Times New Roman"/>
                <w:b/>
                <w:color w:val="948A54" w:themeColor="background2" w:themeShade="80"/>
                <w:sz w:val="20"/>
                <w:szCs w:val="20"/>
                <w:lang w:eastAsia="fr-FR"/>
              </w:rPr>
              <w:t>6.0-3.4</w:t>
            </w:r>
          </w:p>
        </w:tc>
        <w:tc>
          <w:tcPr>
            <w:tcW w:w="1185" w:type="dxa"/>
            <w:tcBorders>
              <w:top w:val="nil"/>
              <w:bottom w:val="nil"/>
            </w:tcBorders>
            <w:shd w:val="clear" w:color="auto" w:fill="auto"/>
            <w:vAlign w:val="center"/>
          </w:tcPr>
          <w:p w14:paraId="35375301" w14:textId="77777777" w:rsidR="008A19C5" w:rsidRPr="00775CE7" w:rsidRDefault="008A19C5" w:rsidP="008A19C5">
            <w:pPr>
              <w:autoSpaceDE w:val="0"/>
              <w:autoSpaceDN w:val="0"/>
              <w:adjustRightInd w:val="0"/>
              <w:snapToGrid w:val="0"/>
              <w:spacing w:before="60" w:after="0" w:line="240" w:lineRule="auto"/>
              <w:jc w:val="center"/>
              <w:rPr>
                <w:rFonts w:ascii="Times New Roman" w:eastAsia="Times New Roman" w:hAnsi="Times New Roman" w:cs="Times New Roman"/>
                <w:b/>
                <w:sz w:val="20"/>
                <w:szCs w:val="20"/>
                <w:lang w:eastAsia="fr-FR"/>
              </w:rPr>
            </w:pPr>
            <w:r w:rsidRPr="00775CE7">
              <w:rPr>
                <w:rFonts w:ascii="Times New Roman" w:eastAsia="Times New Roman" w:hAnsi="Times New Roman" w:cs="Times New Roman"/>
                <w:b/>
                <w:color w:val="365F91" w:themeColor="accent1" w:themeShade="BF"/>
                <w:sz w:val="20"/>
                <w:szCs w:val="20"/>
                <w:lang w:eastAsia="fr-FR"/>
              </w:rPr>
              <w:t>11.9-15.2</w:t>
            </w:r>
            <w:r w:rsidRPr="00775CE7">
              <w:rPr>
                <w:rFonts w:ascii="Times New Roman" w:eastAsia="Times New Roman" w:hAnsi="Times New Roman" w:cs="Times New Roman"/>
                <w:b/>
                <w:color w:val="365F91" w:themeColor="accent1" w:themeShade="BF"/>
                <w:sz w:val="20"/>
                <w:szCs w:val="20"/>
                <w:lang w:eastAsia="fr-FR"/>
              </w:rPr>
              <w:br/>
            </w:r>
            <w:r w:rsidRPr="00775CE7">
              <w:rPr>
                <w:rFonts w:ascii="Times New Roman" w:eastAsia="Times New Roman" w:hAnsi="Times New Roman" w:cs="Times New Roman"/>
                <w:b/>
                <w:color w:val="943634" w:themeColor="accent2" w:themeShade="BF"/>
                <w:sz w:val="20"/>
                <w:szCs w:val="20"/>
                <w:lang w:eastAsia="fr-FR"/>
              </w:rPr>
              <w:t>12.3-15.4</w:t>
            </w:r>
            <w:r w:rsidRPr="00775CE7">
              <w:rPr>
                <w:rFonts w:ascii="Times New Roman" w:eastAsia="Times New Roman" w:hAnsi="Times New Roman" w:cs="Times New Roman"/>
                <w:b/>
                <w:sz w:val="20"/>
                <w:szCs w:val="20"/>
                <w:lang w:eastAsia="fr-FR"/>
              </w:rPr>
              <w:br/>
            </w:r>
            <w:r w:rsidRPr="00775CE7">
              <w:rPr>
                <w:rFonts w:ascii="Times New Roman" w:eastAsia="Times New Roman" w:hAnsi="Times New Roman" w:cs="Times New Roman"/>
                <w:b/>
                <w:color w:val="948A54" w:themeColor="background2" w:themeShade="80"/>
                <w:sz w:val="20"/>
                <w:szCs w:val="20"/>
                <w:lang w:eastAsia="fr-FR"/>
              </w:rPr>
              <w:t>15.0-17.8</w:t>
            </w:r>
          </w:p>
        </w:tc>
        <w:tc>
          <w:tcPr>
            <w:tcW w:w="1184" w:type="dxa"/>
            <w:tcBorders>
              <w:top w:val="nil"/>
              <w:bottom w:val="nil"/>
            </w:tcBorders>
            <w:shd w:val="clear" w:color="auto" w:fill="auto"/>
            <w:vAlign w:val="center"/>
          </w:tcPr>
          <w:p w14:paraId="26780EDA" w14:textId="77777777" w:rsidR="008A19C5" w:rsidRPr="00775CE7" w:rsidRDefault="008A19C5" w:rsidP="008A19C5">
            <w:pPr>
              <w:autoSpaceDE w:val="0"/>
              <w:autoSpaceDN w:val="0"/>
              <w:adjustRightInd w:val="0"/>
              <w:snapToGrid w:val="0"/>
              <w:spacing w:before="60" w:after="0" w:line="240" w:lineRule="auto"/>
              <w:jc w:val="center"/>
              <w:rPr>
                <w:rFonts w:ascii="Times New Roman" w:eastAsia="Times New Roman" w:hAnsi="Times New Roman" w:cs="Times New Roman"/>
                <w:b/>
                <w:sz w:val="20"/>
                <w:szCs w:val="20"/>
                <w:lang w:eastAsia="fr-FR"/>
              </w:rPr>
            </w:pPr>
            <w:r w:rsidRPr="00775CE7">
              <w:rPr>
                <w:rFonts w:ascii="Times New Roman" w:eastAsia="Times New Roman" w:hAnsi="Times New Roman" w:cs="Times New Roman"/>
                <w:b/>
                <w:color w:val="365F91" w:themeColor="accent1" w:themeShade="BF"/>
                <w:sz w:val="20"/>
                <w:szCs w:val="20"/>
                <w:lang w:eastAsia="fr-FR"/>
              </w:rPr>
              <w:t>23.1-20.6</w:t>
            </w:r>
            <w:r w:rsidRPr="00775CE7">
              <w:rPr>
                <w:rFonts w:ascii="Times New Roman" w:eastAsia="Times New Roman" w:hAnsi="Times New Roman" w:cs="Times New Roman"/>
                <w:b/>
                <w:color w:val="365F91" w:themeColor="accent1" w:themeShade="BF"/>
                <w:sz w:val="20"/>
                <w:szCs w:val="20"/>
                <w:lang w:eastAsia="fr-FR"/>
              </w:rPr>
              <w:br/>
            </w:r>
            <w:r w:rsidRPr="00775CE7">
              <w:rPr>
                <w:rFonts w:ascii="Times New Roman" w:eastAsia="Times New Roman" w:hAnsi="Times New Roman" w:cs="Times New Roman"/>
                <w:b/>
                <w:color w:val="943634" w:themeColor="accent2" w:themeShade="BF"/>
                <w:sz w:val="20"/>
                <w:szCs w:val="20"/>
                <w:lang w:eastAsia="fr-FR"/>
              </w:rPr>
              <w:t>22.9-20.3</w:t>
            </w:r>
            <w:r w:rsidRPr="00775CE7">
              <w:rPr>
                <w:rFonts w:ascii="Times New Roman" w:eastAsia="Times New Roman" w:hAnsi="Times New Roman" w:cs="Times New Roman"/>
                <w:b/>
                <w:sz w:val="20"/>
                <w:szCs w:val="20"/>
                <w:lang w:eastAsia="fr-FR"/>
              </w:rPr>
              <w:br/>
            </w:r>
            <w:r w:rsidRPr="00775CE7">
              <w:rPr>
                <w:rFonts w:ascii="Times New Roman" w:eastAsia="Times New Roman" w:hAnsi="Times New Roman" w:cs="Times New Roman"/>
                <w:b/>
                <w:color w:val="948A54" w:themeColor="background2" w:themeShade="80"/>
                <w:sz w:val="20"/>
                <w:szCs w:val="20"/>
                <w:lang w:eastAsia="fr-FR"/>
              </w:rPr>
              <w:t>19.8-17.7</w:t>
            </w:r>
          </w:p>
        </w:tc>
        <w:tc>
          <w:tcPr>
            <w:tcW w:w="1185" w:type="dxa"/>
            <w:tcBorders>
              <w:top w:val="nil"/>
              <w:bottom w:val="nil"/>
            </w:tcBorders>
            <w:shd w:val="clear" w:color="auto" w:fill="auto"/>
          </w:tcPr>
          <w:p w14:paraId="66DE9197" w14:textId="77777777" w:rsidR="008A19C5" w:rsidRPr="00775CE7" w:rsidRDefault="008A19C5" w:rsidP="008A19C5">
            <w:pPr>
              <w:autoSpaceDE w:val="0"/>
              <w:autoSpaceDN w:val="0"/>
              <w:adjustRightInd w:val="0"/>
              <w:snapToGrid w:val="0"/>
              <w:spacing w:before="60" w:after="0" w:line="240" w:lineRule="auto"/>
              <w:jc w:val="center"/>
              <w:rPr>
                <w:rFonts w:ascii="Times New Roman" w:eastAsia="Times New Roman" w:hAnsi="Times New Roman" w:cs="Times New Roman"/>
                <w:b/>
                <w:sz w:val="20"/>
                <w:szCs w:val="20"/>
                <w:lang w:eastAsia="fr-FR"/>
              </w:rPr>
            </w:pPr>
            <w:r w:rsidRPr="00775CE7">
              <w:rPr>
                <w:rFonts w:ascii="Times New Roman" w:eastAsia="Times New Roman" w:hAnsi="Times New Roman" w:cs="Times New Roman"/>
                <w:b/>
                <w:color w:val="365F91" w:themeColor="accent1" w:themeShade="BF"/>
                <w:sz w:val="20"/>
                <w:szCs w:val="20"/>
                <w:lang w:eastAsia="fr-FR"/>
              </w:rPr>
              <w:t>10.4-13.5</w:t>
            </w:r>
            <w:r w:rsidRPr="00775CE7">
              <w:rPr>
                <w:rFonts w:ascii="Times New Roman" w:eastAsia="Times New Roman" w:hAnsi="Times New Roman" w:cs="Times New Roman"/>
                <w:b/>
                <w:color w:val="365F91" w:themeColor="accent1" w:themeShade="BF"/>
                <w:sz w:val="20"/>
                <w:szCs w:val="20"/>
                <w:lang w:eastAsia="fr-FR"/>
              </w:rPr>
              <w:br/>
            </w:r>
            <w:r w:rsidRPr="00775CE7">
              <w:rPr>
                <w:rFonts w:ascii="Times New Roman" w:eastAsia="Times New Roman" w:hAnsi="Times New Roman" w:cs="Times New Roman"/>
                <w:b/>
                <w:color w:val="943634" w:themeColor="accent2" w:themeShade="BF"/>
                <w:sz w:val="20"/>
                <w:szCs w:val="20"/>
                <w:lang w:eastAsia="fr-FR"/>
              </w:rPr>
              <w:t>10.7-13.8</w:t>
            </w:r>
            <w:r w:rsidRPr="00775CE7">
              <w:rPr>
                <w:rFonts w:ascii="Times New Roman" w:eastAsia="Times New Roman" w:hAnsi="Times New Roman" w:cs="Times New Roman"/>
                <w:b/>
                <w:sz w:val="20"/>
                <w:szCs w:val="20"/>
                <w:lang w:eastAsia="fr-FR"/>
              </w:rPr>
              <w:br/>
            </w:r>
            <w:r w:rsidRPr="00775CE7">
              <w:rPr>
                <w:rFonts w:ascii="Times New Roman" w:eastAsia="Times New Roman" w:hAnsi="Times New Roman" w:cs="Times New Roman"/>
                <w:b/>
                <w:color w:val="948A54" w:themeColor="background2" w:themeShade="80"/>
                <w:sz w:val="20"/>
                <w:szCs w:val="20"/>
                <w:lang w:eastAsia="fr-FR"/>
              </w:rPr>
              <w:t>13.7-16.4</w:t>
            </w:r>
          </w:p>
        </w:tc>
        <w:tc>
          <w:tcPr>
            <w:tcW w:w="1184" w:type="dxa"/>
            <w:tcBorders>
              <w:top w:val="nil"/>
              <w:bottom w:val="nil"/>
            </w:tcBorders>
            <w:shd w:val="clear" w:color="auto" w:fill="auto"/>
            <w:vAlign w:val="center"/>
          </w:tcPr>
          <w:p w14:paraId="03844A3E" w14:textId="77777777" w:rsidR="008A19C5" w:rsidRPr="00775CE7" w:rsidRDefault="008A19C5" w:rsidP="008A19C5">
            <w:pPr>
              <w:autoSpaceDE w:val="0"/>
              <w:autoSpaceDN w:val="0"/>
              <w:adjustRightInd w:val="0"/>
              <w:snapToGrid w:val="0"/>
              <w:spacing w:before="60" w:after="0" w:line="240" w:lineRule="auto"/>
              <w:jc w:val="center"/>
              <w:rPr>
                <w:rFonts w:ascii="Times New Roman" w:eastAsia="Times New Roman" w:hAnsi="Times New Roman" w:cs="Times New Roman"/>
                <w:b/>
                <w:sz w:val="20"/>
                <w:szCs w:val="20"/>
                <w:lang w:eastAsia="fr-FR"/>
              </w:rPr>
            </w:pPr>
            <w:r w:rsidRPr="00775CE7">
              <w:rPr>
                <w:rFonts w:ascii="Times New Roman" w:eastAsia="Times New Roman" w:hAnsi="Times New Roman" w:cs="Times New Roman"/>
                <w:b/>
                <w:color w:val="365F91" w:themeColor="accent1" w:themeShade="BF"/>
                <w:sz w:val="20"/>
                <w:szCs w:val="20"/>
                <w:lang w:eastAsia="fr-FR"/>
              </w:rPr>
              <w:t>38.6-36.6</w:t>
            </w:r>
            <w:r w:rsidRPr="00775CE7">
              <w:rPr>
                <w:rFonts w:ascii="Times New Roman" w:eastAsia="Times New Roman" w:hAnsi="Times New Roman" w:cs="Times New Roman"/>
                <w:b/>
                <w:color w:val="365F91" w:themeColor="accent1" w:themeShade="BF"/>
                <w:sz w:val="20"/>
                <w:szCs w:val="20"/>
                <w:lang w:eastAsia="fr-FR"/>
              </w:rPr>
              <w:br/>
            </w:r>
            <w:r w:rsidRPr="00775CE7">
              <w:rPr>
                <w:rFonts w:ascii="Times New Roman" w:eastAsia="Times New Roman" w:hAnsi="Times New Roman" w:cs="Times New Roman"/>
                <w:b/>
                <w:color w:val="943634" w:themeColor="accent2" w:themeShade="BF"/>
                <w:sz w:val="20"/>
                <w:szCs w:val="20"/>
                <w:lang w:eastAsia="fr-FR"/>
              </w:rPr>
              <w:t>38.3-36.3</w:t>
            </w:r>
            <w:r w:rsidRPr="00775CE7">
              <w:rPr>
                <w:rFonts w:ascii="Times New Roman" w:eastAsia="Times New Roman" w:hAnsi="Times New Roman" w:cs="Times New Roman"/>
                <w:b/>
                <w:sz w:val="20"/>
                <w:szCs w:val="20"/>
                <w:lang w:eastAsia="fr-FR"/>
              </w:rPr>
              <w:br/>
            </w:r>
            <w:r w:rsidRPr="00775CE7">
              <w:rPr>
                <w:rFonts w:ascii="Times New Roman" w:eastAsia="Times New Roman" w:hAnsi="Times New Roman" w:cs="Times New Roman"/>
                <w:b/>
                <w:color w:val="948A54" w:themeColor="background2" w:themeShade="80"/>
                <w:sz w:val="20"/>
                <w:szCs w:val="20"/>
                <w:lang w:eastAsia="fr-FR"/>
              </w:rPr>
              <w:t>35.4-33.5</w:t>
            </w:r>
          </w:p>
        </w:tc>
        <w:tc>
          <w:tcPr>
            <w:tcW w:w="1185" w:type="dxa"/>
            <w:tcBorders>
              <w:top w:val="nil"/>
              <w:bottom w:val="nil"/>
            </w:tcBorders>
            <w:shd w:val="clear" w:color="auto" w:fill="auto"/>
            <w:vAlign w:val="center"/>
          </w:tcPr>
          <w:p w14:paraId="0520CDB8" w14:textId="77777777" w:rsidR="008A19C5" w:rsidRPr="00775CE7" w:rsidRDefault="008A19C5" w:rsidP="008A19C5">
            <w:pPr>
              <w:autoSpaceDE w:val="0"/>
              <w:autoSpaceDN w:val="0"/>
              <w:adjustRightInd w:val="0"/>
              <w:snapToGrid w:val="0"/>
              <w:spacing w:before="60" w:after="0" w:line="240" w:lineRule="auto"/>
              <w:jc w:val="center"/>
              <w:rPr>
                <w:rFonts w:ascii="Times New Roman" w:eastAsia="Times New Roman" w:hAnsi="Times New Roman" w:cs="Times New Roman"/>
                <w:b/>
                <w:sz w:val="20"/>
                <w:szCs w:val="20"/>
                <w:lang w:eastAsia="fr-FR"/>
              </w:rPr>
            </w:pPr>
            <w:r w:rsidRPr="00775CE7">
              <w:rPr>
                <w:rFonts w:ascii="Times New Roman" w:eastAsia="Times New Roman" w:hAnsi="Times New Roman" w:cs="Times New Roman"/>
                <w:b/>
                <w:color w:val="365F91" w:themeColor="accent1" w:themeShade="BF"/>
                <w:sz w:val="20"/>
                <w:szCs w:val="20"/>
                <w:lang w:eastAsia="fr-FR"/>
              </w:rPr>
              <w:t>8.9-11.9</w:t>
            </w:r>
            <w:r w:rsidRPr="00775CE7">
              <w:rPr>
                <w:rFonts w:ascii="Times New Roman" w:eastAsia="Times New Roman" w:hAnsi="Times New Roman" w:cs="Times New Roman"/>
                <w:b/>
                <w:color w:val="365F91" w:themeColor="accent1" w:themeShade="BF"/>
                <w:sz w:val="20"/>
                <w:szCs w:val="20"/>
                <w:lang w:eastAsia="fr-FR"/>
              </w:rPr>
              <w:br/>
            </w:r>
            <w:r w:rsidRPr="00775CE7">
              <w:rPr>
                <w:rFonts w:ascii="Times New Roman" w:eastAsia="Times New Roman" w:hAnsi="Times New Roman" w:cs="Times New Roman"/>
                <w:b/>
                <w:color w:val="943634" w:themeColor="accent2" w:themeShade="BF"/>
                <w:sz w:val="20"/>
                <w:szCs w:val="20"/>
                <w:lang w:eastAsia="fr-FR"/>
              </w:rPr>
              <w:t>9.3-12.2</w:t>
            </w:r>
            <w:r w:rsidRPr="00775CE7">
              <w:rPr>
                <w:rFonts w:ascii="Times New Roman" w:eastAsia="Times New Roman" w:hAnsi="Times New Roman" w:cs="Times New Roman"/>
                <w:b/>
                <w:sz w:val="20"/>
                <w:szCs w:val="20"/>
                <w:lang w:eastAsia="fr-FR"/>
              </w:rPr>
              <w:br/>
            </w:r>
            <w:r w:rsidRPr="00775CE7">
              <w:rPr>
                <w:rFonts w:ascii="Times New Roman" w:eastAsia="Times New Roman" w:hAnsi="Times New Roman" w:cs="Times New Roman"/>
                <w:b/>
                <w:color w:val="948A54" w:themeColor="background2" w:themeShade="80"/>
                <w:sz w:val="20"/>
                <w:szCs w:val="20"/>
                <w:lang w:eastAsia="fr-FR"/>
              </w:rPr>
              <w:t>12.4-15.0</w:t>
            </w:r>
          </w:p>
        </w:tc>
      </w:tr>
      <w:tr w:rsidR="008A19C5" w:rsidRPr="00775CE7" w14:paraId="6699D982" w14:textId="77777777" w:rsidTr="008A19C5">
        <w:trPr>
          <w:trHeight w:val="184"/>
        </w:trPr>
        <w:tc>
          <w:tcPr>
            <w:tcW w:w="1183" w:type="dxa"/>
            <w:tcBorders>
              <w:top w:val="nil"/>
              <w:bottom w:val="nil"/>
            </w:tcBorders>
            <w:shd w:val="clear" w:color="auto" w:fill="auto"/>
            <w:noWrap/>
            <w:vAlign w:val="center"/>
          </w:tcPr>
          <w:p w14:paraId="26E77F8E" w14:textId="77777777" w:rsidR="008A19C5" w:rsidRPr="00775CE7" w:rsidRDefault="008A19C5" w:rsidP="008A19C5">
            <w:pPr>
              <w:autoSpaceDE w:val="0"/>
              <w:autoSpaceDN w:val="0"/>
              <w:adjustRightInd w:val="0"/>
              <w:snapToGrid w:val="0"/>
              <w:spacing w:before="60" w:after="0" w:line="240" w:lineRule="auto"/>
              <w:jc w:val="center"/>
              <w:rPr>
                <w:rFonts w:ascii="Times New Roman" w:eastAsia="Times New Roman" w:hAnsi="Times New Roman" w:cs="Times New Roman"/>
                <w:b/>
                <w:sz w:val="20"/>
                <w:szCs w:val="20"/>
                <w:lang w:eastAsia="fr-FR"/>
              </w:rPr>
            </w:pPr>
            <w:r w:rsidRPr="00775CE7">
              <w:rPr>
                <w:rFonts w:ascii="Times New Roman" w:eastAsia="Times New Roman" w:hAnsi="Times New Roman" w:cs="Times New Roman"/>
                <w:b/>
                <w:sz w:val="20"/>
                <w:szCs w:val="20"/>
                <w:lang w:eastAsia="fr-FR"/>
              </w:rPr>
              <w:t>40</w:t>
            </w:r>
          </w:p>
        </w:tc>
        <w:tc>
          <w:tcPr>
            <w:tcW w:w="1185" w:type="dxa"/>
            <w:tcBorders>
              <w:top w:val="nil"/>
              <w:bottom w:val="nil"/>
            </w:tcBorders>
            <w:vAlign w:val="center"/>
          </w:tcPr>
          <w:p w14:paraId="1A152A21" w14:textId="77777777" w:rsidR="008A19C5" w:rsidRPr="00775CE7" w:rsidRDefault="008A19C5" w:rsidP="008A19C5">
            <w:pPr>
              <w:autoSpaceDE w:val="0"/>
              <w:autoSpaceDN w:val="0"/>
              <w:adjustRightInd w:val="0"/>
              <w:snapToGrid w:val="0"/>
              <w:spacing w:before="60" w:after="0" w:line="240" w:lineRule="auto"/>
              <w:jc w:val="center"/>
              <w:rPr>
                <w:rFonts w:ascii="Times New Roman" w:eastAsia="Times New Roman" w:hAnsi="Times New Roman" w:cs="Times New Roman"/>
                <w:b/>
                <w:sz w:val="20"/>
                <w:szCs w:val="20"/>
                <w:lang w:eastAsia="fr-FR"/>
              </w:rPr>
            </w:pPr>
            <w:r w:rsidRPr="00775CE7">
              <w:rPr>
                <w:rFonts w:ascii="Times New Roman" w:eastAsia="Times New Roman" w:hAnsi="Times New Roman" w:cs="Times New Roman"/>
                <w:b/>
                <w:color w:val="365F91" w:themeColor="accent1" w:themeShade="BF"/>
                <w:sz w:val="20"/>
                <w:szCs w:val="20"/>
                <w:lang w:eastAsia="fr-FR"/>
              </w:rPr>
              <w:t>-4.1--7.5</w:t>
            </w:r>
            <w:r w:rsidRPr="00775CE7">
              <w:rPr>
                <w:rFonts w:ascii="Times New Roman" w:eastAsia="Times New Roman" w:hAnsi="Times New Roman" w:cs="Times New Roman"/>
                <w:b/>
                <w:sz w:val="20"/>
                <w:szCs w:val="20"/>
                <w:lang w:eastAsia="fr-FR"/>
              </w:rPr>
              <w:br/>
            </w:r>
            <w:r w:rsidRPr="00775CE7">
              <w:rPr>
                <w:rFonts w:ascii="Times New Roman" w:eastAsia="Times New Roman" w:hAnsi="Times New Roman" w:cs="Times New Roman"/>
                <w:b/>
                <w:color w:val="943634" w:themeColor="accent2" w:themeShade="BF"/>
                <w:sz w:val="20"/>
                <w:szCs w:val="20"/>
                <w:lang w:eastAsia="fr-FR"/>
              </w:rPr>
              <w:t>-4.6--7.8</w:t>
            </w:r>
            <w:r w:rsidRPr="00775CE7">
              <w:rPr>
                <w:rFonts w:ascii="Times New Roman" w:eastAsia="Times New Roman" w:hAnsi="Times New Roman" w:cs="Times New Roman"/>
                <w:b/>
                <w:sz w:val="20"/>
                <w:szCs w:val="20"/>
                <w:lang w:eastAsia="fr-FR"/>
              </w:rPr>
              <w:br/>
            </w:r>
            <w:r w:rsidRPr="00775CE7">
              <w:rPr>
                <w:rFonts w:ascii="Times New Roman" w:eastAsia="Times New Roman" w:hAnsi="Times New Roman" w:cs="Times New Roman"/>
                <w:b/>
                <w:color w:val="948A54" w:themeColor="background2" w:themeShade="80"/>
                <w:sz w:val="20"/>
                <w:szCs w:val="20"/>
                <w:lang w:eastAsia="fr-FR"/>
              </w:rPr>
              <w:t>-8.0--11.0</w:t>
            </w:r>
          </w:p>
        </w:tc>
        <w:tc>
          <w:tcPr>
            <w:tcW w:w="1185" w:type="dxa"/>
            <w:tcBorders>
              <w:top w:val="nil"/>
              <w:bottom w:val="nil"/>
            </w:tcBorders>
            <w:vAlign w:val="center"/>
          </w:tcPr>
          <w:p w14:paraId="38FDE8AA" w14:textId="77777777" w:rsidR="008A19C5" w:rsidRPr="00775CE7" w:rsidRDefault="008A19C5" w:rsidP="008A19C5">
            <w:pPr>
              <w:autoSpaceDE w:val="0"/>
              <w:autoSpaceDN w:val="0"/>
              <w:adjustRightInd w:val="0"/>
              <w:snapToGrid w:val="0"/>
              <w:spacing w:before="60" w:after="0" w:line="240" w:lineRule="auto"/>
              <w:jc w:val="center"/>
              <w:rPr>
                <w:rFonts w:ascii="Times New Roman" w:eastAsia="Times New Roman" w:hAnsi="Times New Roman" w:cs="Times New Roman"/>
                <w:b/>
                <w:sz w:val="20"/>
                <w:szCs w:val="20"/>
                <w:lang w:eastAsia="fr-FR"/>
              </w:rPr>
            </w:pPr>
            <w:r w:rsidRPr="00775CE7">
              <w:rPr>
                <w:rFonts w:ascii="Times New Roman" w:eastAsia="Times New Roman" w:hAnsi="Times New Roman" w:cs="Times New Roman"/>
                <w:b/>
                <w:color w:val="365F91" w:themeColor="accent1" w:themeShade="BF"/>
                <w:sz w:val="20"/>
                <w:szCs w:val="20"/>
                <w:lang w:eastAsia="fr-FR"/>
              </w:rPr>
              <w:t>14.0-17.4</w:t>
            </w:r>
            <w:r w:rsidRPr="00775CE7">
              <w:rPr>
                <w:rFonts w:ascii="Times New Roman" w:eastAsia="Times New Roman" w:hAnsi="Times New Roman" w:cs="Times New Roman"/>
                <w:b/>
                <w:sz w:val="20"/>
                <w:szCs w:val="20"/>
                <w:lang w:eastAsia="fr-FR"/>
              </w:rPr>
              <w:br/>
            </w:r>
            <w:r w:rsidRPr="00775CE7">
              <w:rPr>
                <w:rFonts w:ascii="Times New Roman" w:eastAsia="Times New Roman" w:hAnsi="Times New Roman" w:cs="Times New Roman"/>
                <w:b/>
                <w:color w:val="943634" w:themeColor="accent2" w:themeShade="BF"/>
                <w:sz w:val="20"/>
                <w:szCs w:val="20"/>
                <w:lang w:eastAsia="fr-FR"/>
              </w:rPr>
              <w:t>14.4-17.7</w:t>
            </w:r>
            <w:r w:rsidRPr="00775CE7">
              <w:rPr>
                <w:rFonts w:ascii="Times New Roman" w:eastAsia="Times New Roman" w:hAnsi="Times New Roman" w:cs="Times New Roman"/>
                <w:b/>
                <w:sz w:val="20"/>
                <w:szCs w:val="20"/>
                <w:lang w:eastAsia="fr-FR"/>
              </w:rPr>
              <w:br/>
            </w:r>
            <w:r w:rsidRPr="00775CE7">
              <w:rPr>
                <w:rFonts w:ascii="Times New Roman" w:eastAsia="Times New Roman" w:hAnsi="Times New Roman" w:cs="Times New Roman"/>
                <w:b/>
                <w:color w:val="948A54" w:themeColor="background2" w:themeShade="80"/>
                <w:sz w:val="20"/>
                <w:szCs w:val="20"/>
                <w:lang w:eastAsia="fr-FR"/>
              </w:rPr>
              <w:t>17.7-20.8</w:t>
            </w:r>
          </w:p>
        </w:tc>
        <w:tc>
          <w:tcPr>
            <w:tcW w:w="1185" w:type="dxa"/>
            <w:tcBorders>
              <w:top w:val="nil"/>
              <w:bottom w:val="nil"/>
            </w:tcBorders>
            <w:shd w:val="clear" w:color="auto" w:fill="auto"/>
            <w:vAlign w:val="center"/>
          </w:tcPr>
          <w:p w14:paraId="7FD38FD4" w14:textId="77777777" w:rsidR="008A19C5" w:rsidRPr="00775CE7" w:rsidRDefault="008A19C5" w:rsidP="008A19C5">
            <w:pPr>
              <w:autoSpaceDE w:val="0"/>
              <w:autoSpaceDN w:val="0"/>
              <w:adjustRightInd w:val="0"/>
              <w:snapToGrid w:val="0"/>
              <w:spacing w:before="60" w:after="0" w:line="240" w:lineRule="auto"/>
              <w:jc w:val="center"/>
              <w:rPr>
                <w:rFonts w:ascii="Times New Roman" w:eastAsia="Times New Roman" w:hAnsi="Times New Roman" w:cs="Times New Roman"/>
                <w:b/>
                <w:sz w:val="20"/>
                <w:szCs w:val="20"/>
                <w:lang w:eastAsia="fr-FR"/>
              </w:rPr>
            </w:pPr>
            <w:r w:rsidRPr="00775CE7">
              <w:rPr>
                <w:rFonts w:ascii="Times New Roman" w:eastAsia="Times New Roman" w:hAnsi="Times New Roman" w:cs="Times New Roman"/>
                <w:b/>
                <w:color w:val="365F91" w:themeColor="accent1" w:themeShade="BF"/>
                <w:sz w:val="20"/>
                <w:szCs w:val="20"/>
                <w:lang w:eastAsia="fr-FR"/>
              </w:rPr>
              <w:t>8.7-5.7</w:t>
            </w:r>
            <w:r w:rsidRPr="00775CE7">
              <w:rPr>
                <w:rFonts w:ascii="Times New Roman" w:eastAsia="Times New Roman" w:hAnsi="Times New Roman" w:cs="Times New Roman"/>
                <w:b/>
                <w:sz w:val="20"/>
                <w:szCs w:val="20"/>
                <w:lang w:eastAsia="fr-FR"/>
              </w:rPr>
              <w:br/>
            </w:r>
            <w:r w:rsidRPr="00775CE7">
              <w:rPr>
                <w:rFonts w:ascii="Times New Roman" w:eastAsia="Times New Roman" w:hAnsi="Times New Roman" w:cs="Times New Roman"/>
                <w:b/>
                <w:color w:val="943634" w:themeColor="accent2" w:themeShade="BF"/>
                <w:sz w:val="20"/>
                <w:szCs w:val="20"/>
                <w:lang w:eastAsia="fr-FR"/>
              </w:rPr>
              <w:t>8.2-5.1</w:t>
            </w:r>
            <w:r w:rsidRPr="00775CE7">
              <w:rPr>
                <w:rFonts w:ascii="Times New Roman" w:eastAsia="Times New Roman" w:hAnsi="Times New Roman" w:cs="Times New Roman"/>
                <w:b/>
                <w:sz w:val="20"/>
                <w:szCs w:val="20"/>
                <w:lang w:eastAsia="fr-FR"/>
              </w:rPr>
              <w:br/>
            </w:r>
            <w:r w:rsidRPr="00775CE7">
              <w:rPr>
                <w:rFonts w:ascii="Times New Roman" w:eastAsia="Times New Roman" w:hAnsi="Times New Roman" w:cs="Times New Roman"/>
                <w:b/>
                <w:color w:val="948A54" w:themeColor="background2" w:themeShade="80"/>
                <w:sz w:val="20"/>
                <w:szCs w:val="20"/>
                <w:lang w:eastAsia="fr-FR"/>
              </w:rPr>
              <w:t>4.6-1.8</w:t>
            </w:r>
          </w:p>
        </w:tc>
        <w:tc>
          <w:tcPr>
            <w:tcW w:w="1185" w:type="dxa"/>
            <w:tcBorders>
              <w:top w:val="nil"/>
              <w:bottom w:val="nil"/>
            </w:tcBorders>
            <w:shd w:val="clear" w:color="auto" w:fill="auto"/>
            <w:vAlign w:val="center"/>
          </w:tcPr>
          <w:p w14:paraId="7241C28E" w14:textId="77777777" w:rsidR="008A19C5" w:rsidRPr="00775CE7" w:rsidRDefault="008A19C5" w:rsidP="008A19C5">
            <w:pPr>
              <w:autoSpaceDE w:val="0"/>
              <w:autoSpaceDN w:val="0"/>
              <w:adjustRightInd w:val="0"/>
              <w:snapToGrid w:val="0"/>
              <w:spacing w:before="60" w:after="0" w:line="240" w:lineRule="auto"/>
              <w:jc w:val="center"/>
              <w:rPr>
                <w:rFonts w:ascii="Times New Roman" w:eastAsia="Times New Roman" w:hAnsi="Times New Roman" w:cs="Times New Roman"/>
                <w:b/>
                <w:sz w:val="20"/>
                <w:szCs w:val="20"/>
                <w:lang w:eastAsia="fr-FR"/>
              </w:rPr>
            </w:pPr>
            <w:r w:rsidRPr="00775CE7">
              <w:rPr>
                <w:rFonts w:ascii="Times New Roman" w:eastAsia="Times New Roman" w:hAnsi="Times New Roman" w:cs="Times New Roman"/>
                <w:b/>
                <w:color w:val="365F91" w:themeColor="accent1" w:themeShade="BF"/>
                <w:sz w:val="20"/>
                <w:szCs w:val="20"/>
                <w:lang w:eastAsia="fr-FR"/>
              </w:rPr>
              <w:t>12.3-15.6</w:t>
            </w:r>
            <w:r w:rsidRPr="00775CE7">
              <w:rPr>
                <w:rFonts w:ascii="Times New Roman" w:eastAsia="Times New Roman" w:hAnsi="Times New Roman" w:cs="Times New Roman"/>
                <w:b/>
                <w:sz w:val="20"/>
                <w:szCs w:val="20"/>
                <w:lang w:eastAsia="fr-FR"/>
              </w:rPr>
              <w:br/>
            </w:r>
            <w:r w:rsidRPr="00775CE7">
              <w:rPr>
                <w:rFonts w:ascii="Times New Roman" w:eastAsia="Times New Roman" w:hAnsi="Times New Roman" w:cs="Times New Roman"/>
                <w:b/>
                <w:color w:val="943634" w:themeColor="accent2" w:themeShade="BF"/>
                <w:sz w:val="20"/>
                <w:szCs w:val="20"/>
                <w:lang w:eastAsia="fr-FR"/>
              </w:rPr>
              <w:t>12.8-16.0</w:t>
            </w:r>
            <w:r w:rsidRPr="00775CE7">
              <w:rPr>
                <w:rFonts w:ascii="Times New Roman" w:eastAsia="Times New Roman" w:hAnsi="Times New Roman" w:cs="Times New Roman"/>
                <w:b/>
                <w:sz w:val="20"/>
                <w:szCs w:val="20"/>
                <w:lang w:eastAsia="fr-FR"/>
              </w:rPr>
              <w:br/>
            </w:r>
            <w:r w:rsidRPr="00775CE7">
              <w:rPr>
                <w:rFonts w:ascii="Times New Roman" w:eastAsia="Times New Roman" w:hAnsi="Times New Roman" w:cs="Times New Roman"/>
                <w:b/>
                <w:color w:val="948A54" w:themeColor="background2" w:themeShade="80"/>
                <w:sz w:val="20"/>
                <w:szCs w:val="20"/>
                <w:lang w:eastAsia="fr-FR"/>
              </w:rPr>
              <w:t>16.2-19.1</w:t>
            </w:r>
          </w:p>
        </w:tc>
        <w:tc>
          <w:tcPr>
            <w:tcW w:w="1184" w:type="dxa"/>
            <w:tcBorders>
              <w:top w:val="nil"/>
              <w:bottom w:val="nil"/>
            </w:tcBorders>
            <w:shd w:val="clear" w:color="auto" w:fill="auto"/>
            <w:noWrap/>
            <w:vAlign w:val="center"/>
          </w:tcPr>
          <w:p w14:paraId="5FD1BC3E" w14:textId="77777777" w:rsidR="008A19C5" w:rsidRPr="00775CE7" w:rsidRDefault="008A19C5" w:rsidP="008A19C5">
            <w:pPr>
              <w:autoSpaceDE w:val="0"/>
              <w:autoSpaceDN w:val="0"/>
              <w:adjustRightInd w:val="0"/>
              <w:snapToGrid w:val="0"/>
              <w:spacing w:before="60" w:after="0" w:line="240" w:lineRule="auto"/>
              <w:jc w:val="center"/>
              <w:rPr>
                <w:rFonts w:ascii="Times New Roman" w:eastAsia="Times New Roman" w:hAnsi="Times New Roman" w:cs="Times New Roman"/>
                <w:b/>
                <w:sz w:val="20"/>
                <w:szCs w:val="20"/>
                <w:lang w:eastAsia="fr-FR"/>
              </w:rPr>
            </w:pPr>
            <w:r w:rsidRPr="00775CE7">
              <w:rPr>
                <w:rFonts w:ascii="Times New Roman" w:eastAsia="Times New Roman" w:hAnsi="Times New Roman" w:cs="Times New Roman"/>
                <w:b/>
                <w:color w:val="365F91" w:themeColor="accent1" w:themeShade="BF"/>
                <w:sz w:val="20"/>
                <w:szCs w:val="20"/>
                <w:lang w:eastAsia="fr-FR"/>
              </w:rPr>
              <w:t>22.7-20.2</w:t>
            </w:r>
            <w:r w:rsidRPr="00775CE7">
              <w:rPr>
                <w:rFonts w:ascii="Times New Roman" w:eastAsia="Times New Roman" w:hAnsi="Times New Roman" w:cs="Times New Roman"/>
                <w:b/>
                <w:sz w:val="20"/>
                <w:szCs w:val="20"/>
                <w:lang w:eastAsia="fr-FR"/>
              </w:rPr>
              <w:br/>
            </w:r>
            <w:r w:rsidRPr="00775CE7">
              <w:rPr>
                <w:rFonts w:ascii="Times New Roman" w:eastAsia="Times New Roman" w:hAnsi="Times New Roman" w:cs="Times New Roman"/>
                <w:b/>
                <w:color w:val="943634" w:themeColor="accent2" w:themeShade="BF"/>
                <w:sz w:val="20"/>
                <w:szCs w:val="20"/>
                <w:lang w:eastAsia="fr-FR"/>
              </w:rPr>
              <w:t>22.4-19.8</w:t>
            </w:r>
            <w:r w:rsidRPr="00775CE7">
              <w:rPr>
                <w:rFonts w:ascii="Times New Roman" w:eastAsia="Times New Roman" w:hAnsi="Times New Roman" w:cs="Times New Roman"/>
                <w:b/>
                <w:sz w:val="20"/>
                <w:szCs w:val="20"/>
                <w:lang w:eastAsia="fr-FR"/>
              </w:rPr>
              <w:br/>
            </w:r>
            <w:r w:rsidRPr="00775CE7">
              <w:rPr>
                <w:rFonts w:ascii="Times New Roman" w:eastAsia="Times New Roman" w:hAnsi="Times New Roman" w:cs="Times New Roman"/>
                <w:b/>
                <w:color w:val="948A54" w:themeColor="background2" w:themeShade="80"/>
                <w:sz w:val="20"/>
                <w:szCs w:val="20"/>
                <w:lang w:eastAsia="fr-FR"/>
              </w:rPr>
              <w:t>18.5-16.2</w:t>
            </w:r>
          </w:p>
        </w:tc>
        <w:tc>
          <w:tcPr>
            <w:tcW w:w="1185" w:type="dxa"/>
            <w:tcBorders>
              <w:top w:val="nil"/>
              <w:bottom w:val="nil"/>
            </w:tcBorders>
            <w:shd w:val="clear" w:color="auto" w:fill="auto"/>
            <w:vAlign w:val="center"/>
          </w:tcPr>
          <w:p w14:paraId="0C2F7DB4" w14:textId="77777777" w:rsidR="008A19C5" w:rsidRPr="00775CE7" w:rsidRDefault="008A19C5" w:rsidP="008A19C5">
            <w:pPr>
              <w:autoSpaceDE w:val="0"/>
              <w:autoSpaceDN w:val="0"/>
              <w:adjustRightInd w:val="0"/>
              <w:snapToGrid w:val="0"/>
              <w:spacing w:before="60" w:after="0" w:line="240" w:lineRule="auto"/>
              <w:jc w:val="center"/>
              <w:rPr>
                <w:rFonts w:ascii="Times New Roman" w:eastAsia="Times New Roman" w:hAnsi="Times New Roman" w:cs="Times New Roman"/>
                <w:b/>
                <w:sz w:val="20"/>
                <w:szCs w:val="20"/>
                <w:lang w:eastAsia="fr-FR"/>
              </w:rPr>
            </w:pPr>
            <w:r w:rsidRPr="00775CE7">
              <w:rPr>
                <w:rFonts w:ascii="Times New Roman" w:eastAsia="Times New Roman" w:hAnsi="Times New Roman" w:cs="Times New Roman"/>
                <w:b/>
                <w:color w:val="365F91" w:themeColor="accent1" w:themeShade="BF"/>
                <w:sz w:val="20"/>
                <w:szCs w:val="20"/>
                <w:lang w:eastAsia="fr-FR"/>
              </w:rPr>
              <w:t>10.6-13.8</w:t>
            </w:r>
            <w:r w:rsidRPr="00775CE7">
              <w:rPr>
                <w:rFonts w:ascii="Times New Roman" w:eastAsia="Times New Roman" w:hAnsi="Times New Roman" w:cs="Times New Roman"/>
                <w:b/>
                <w:sz w:val="20"/>
                <w:szCs w:val="20"/>
                <w:lang w:eastAsia="fr-FR"/>
              </w:rPr>
              <w:br/>
            </w:r>
            <w:r w:rsidRPr="00775CE7">
              <w:rPr>
                <w:rFonts w:ascii="Times New Roman" w:eastAsia="Times New Roman" w:hAnsi="Times New Roman" w:cs="Times New Roman"/>
                <w:b/>
                <w:color w:val="943634" w:themeColor="accent2" w:themeShade="BF"/>
                <w:sz w:val="20"/>
                <w:szCs w:val="20"/>
                <w:lang w:eastAsia="fr-FR"/>
              </w:rPr>
              <w:t>11.0-14.2</w:t>
            </w:r>
            <w:r w:rsidRPr="00775CE7">
              <w:rPr>
                <w:rFonts w:ascii="Times New Roman" w:eastAsia="Times New Roman" w:hAnsi="Times New Roman" w:cs="Times New Roman"/>
                <w:b/>
                <w:sz w:val="20"/>
                <w:szCs w:val="20"/>
                <w:lang w:eastAsia="fr-FR"/>
              </w:rPr>
              <w:br/>
            </w:r>
            <w:r w:rsidRPr="00775CE7">
              <w:rPr>
                <w:rFonts w:ascii="Times New Roman" w:eastAsia="Times New Roman" w:hAnsi="Times New Roman" w:cs="Times New Roman"/>
                <w:b/>
                <w:color w:val="948A54" w:themeColor="background2" w:themeShade="80"/>
                <w:sz w:val="20"/>
                <w:szCs w:val="20"/>
                <w:lang w:eastAsia="fr-FR"/>
              </w:rPr>
              <w:t>14.6-17.4</w:t>
            </w:r>
          </w:p>
        </w:tc>
        <w:tc>
          <w:tcPr>
            <w:tcW w:w="1184" w:type="dxa"/>
            <w:tcBorders>
              <w:top w:val="nil"/>
              <w:bottom w:val="nil"/>
            </w:tcBorders>
            <w:shd w:val="clear" w:color="auto" w:fill="auto"/>
            <w:vAlign w:val="center"/>
          </w:tcPr>
          <w:p w14:paraId="14F61A71" w14:textId="77777777" w:rsidR="008A19C5" w:rsidRPr="00775CE7" w:rsidRDefault="008A19C5" w:rsidP="008A19C5">
            <w:pPr>
              <w:autoSpaceDE w:val="0"/>
              <w:autoSpaceDN w:val="0"/>
              <w:adjustRightInd w:val="0"/>
              <w:snapToGrid w:val="0"/>
              <w:spacing w:before="60" w:after="0" w:line="240" w:lineRule="auto"/>
              <w:jc w:val="center"/>
              <w:rPr>
                <w:rFonts w:ascii="Times New Roman" w:eastAsia="Times New Roman" w:hAnsi="Times New Roman" w:cs="Times New Roman"/>
                <w:b/>
                <w:sz w:val="20"/>
                <w:szCs w:val="20"/>
                <w:lang w:eastAsia="fr-FR"/>
              </w:rPr>
            </w:pPr>
            <w:r w:rsidRPr="00775CE7">
              <w:rPr>
                <w:rFonts w:ascii="Times New Roman" w:eastAsia="Times New Roman" w:hAnsi="Times New Roman" w:cs="Times New Roman"/>
                <w:b/>
                <w:color w:val="365F91" w:themeColor="accent1" w:themeShade="BF"/>
                <w:sz w:val="20"/>
                <w:szCs w:val="20"/>
                <w:lang w:eastAsia="fr-FR"/>
              </w:rPr>
              <w:t>38.2-36.3</w:t>
            </w:r>
            <w:r w:rsidRPr="00775CE7">
              <w:rPr>
                <w:rFonts w:ascii="Times New Roman" w:eastAsia="Times New Roman" w:hAnsi="Times New Roman" w:cs="Times New Roman"/>
                <w:b/>
                <w:sz w:val="20"/>
                <w:szCs w:val="20"/>
                <w:lang w:eastAsia="fr-FR"/>
              </w:rPr>
              <w:br/>
            </w:r>
            <w:r w:rsidRPr="00775CE7">
              <w:rPr>
                <w:rFonts w:ascii="Times New Roman" w:eastAsia="Times New Roman" w:hAnsi="Times New Roman" w:cs="Times New Roman"/>
                <w:b/>
                <w:color w:val="943634" w:themeColor="accent2" w:themeShade="BF"/>
                <w:sz w:val="20"/>
                <w:szCs w:val="20"/>
                <w:lang w:eastAsia="fr-FR"/>
              </w:rPr>
              <w:t>37.9-35.9</w:t>
            </w:r>
            <w:r w:rsidRPr="00775CE7">
              <w:rPr>
                <w:rFonts w:ascii="Times New Roman" w:eastAsia="Times New Roman" w:hAnsi="Times New Roman" w:cs="Times New Roman"/>
                <w:b/>
                <w:sz w:val="20"/>
                <w:szCs w:val="20"/>
                <w:lang w:eastAsia="fr-FR"/>
              </w:rPr>
              <w:br/>
            </w:r>
            <w:r w:rsidRPr="00775CE7">
              <w:rPr>
                <w:rFonts w:ascii="Times New Roman" w:eastAsia="Times New Roman" w:hAnsi="Times New Roman" w:cs="Times New Roman"/>
                <w:b/>
                <w:color w:val="948A54" w:themeColor="background2" w:themeShade="80"/>
                <w:sz w:val="20"/>
                <w:szCs w:val="20"/>
                <w:lang w:eastAsia="fr-FR"/>
              </w:rPr>
              <w:t>34.3-32.2</w:t>
            </w:r>
          </w:p>
        </w:tc>
        <w:tc>
          <w:tcPr>
            <w:tcW w:w="1185" w:type="dxa"/>
            <w:tcBorders>
              <w:top w:val="nil"/>
              <w:bottom w:val="nil"/>
            </w:tcBorders>
            <w:shd w:val="clear" w:color="auto" w:fill="auto"/>
            <w:vAlign w:val="center"/>
          </w:tcPr>
          <w:p w14:paraId="40610F6F" w14:textId="77777777" w:rsidR="008A19C5" w:rsidRPr="00775CE7" w:rsidRDefault="008A19C5" w:rsidP="008A19C5">
            <w:pPr>
              <w:autoSpaceDE w:val="0"/>
              <w:autoSpaceDN w:val="0"/>
              <w:adjustRightInd w:val="0"/>
              <w:snapToGrid w:val="0"/>
              <w:spacing w:before="60" w:after="0" w:line="240" w:lineRule="auto"/>
              <w:jc w:val="center"/>
              <w:rPr>
                <w:rFonts w:ascii="Times New Roman" w:eastAsia="Times New Roman" w:hAnsi="Times New Roman" w:cs="Times New Roman"/>
                <w:b/>
                <w:sz w:val="20"/>
                <w:szCs w:val="20"/>
                <w:lang w:eastAsia="fr-FR"/>
              </w:rPr>
            </w:pPr>
            <w:r w:rsidRPr="00775CE7">
              <w:rPr>
                <w:rFonts w:ascii="Times New Roman" w:eastAsia="Times New Roman" w:hAnsi="Times New Roman" w:cs="Times New Roman"/>
                <w:b/>
                <w:color w:val="365F91" w:themeColor="accent1" w:themeShade="BF"/>
                <w:sz w:val="20"/>
                <w:szCs w:val="20"/>
                <w:lang w:eastAsia="fr-FR"/>
              </w:rPr>
              <w:t>9.1-12.2</w:t>
            </w:r>
            <w:r w:rsidRPr="00775CE7">
              <w:rPr>
                <w:rFonts w:ascii="Times New Roman" w:eastAsia="Times New Roman" w:hAnsi="Times New Roman" w:cs="Times New Roman"/>
                <w:b/>
                <w:sz w:val="20"/>
                <w:szCs w:val="20"/>
                <w:lang w:eastAsia="fr-FR"/>
              </w:rPr>
              <w:br/>
            </w:r>
            <w:r w:rsidRPr="00775CE7">
              <w:rPr>
                <w:rFonts w:ascii="Times New Roman" w:eastAsia="Times New Roman" w:hAnsi="Times New Roman" w:cs="Times New Roman"/>
                <w:b/>
                <w:color w:val="943634" w:themeColor="accent2" w:themeShade="BF"/>
                <w:sz w:val="20"/>
                <w:szCs w:val="20"/>
                <w:lang w:eastAsia="fr-FR"/>
              </w:rPr>
              <w:t>9.5-12.5</w:t>
            </w:r>
            <w:r w:rsidRPr="00775CE7">
              <w:rPr>
                <w:rFonts w:ascii="Times New Roman" w:eastAsia="Times New Roman" w:hAnsi="Times New Roman" w:cs="Times New Roman"/>
                <w:b/>
                <w:sz w:val="20"/>
                <w:szCs w:val="20"/>
                <w:lang w:eastAsia="fr-FR"/>
              </w:rPr>
              <w:br/>
            </w:r>
            <w:r w:rsidRPr="00775CE7">
              <w:rPr>
                <w:rFonts w:ascii="Times New Roman" w:eastAsia="Times New Roman" w:hAnsi="Times New Roman" w:cs="Times New Roman"/>
                <w:b/>
                <w:color w:val="948A54" w:themeColor="background2" w:themeShade="80"/>
                <w:sz w:val="20"/>
                <w:szCs w:val="20"/>
                <w:lang w:eastAsia="fr-FR"/>
              </w:rPr>
              <w:t>13.2-13.8</w:t>
            </w:r>
          </w:p>
        </w:tc>
      </w:tr>
      <w:tr w:rsidR="008A19C5" w:rsidRPr="00775CE7" w14:paraId="66904C19" w14:textId="77777777" w:rsidTr="008A19C5">
        <w:trPr>
          <w:trHeight w:val="184"/>
        </w:trPr>
        <w:tc>
          <w:tcPr>
            <w:tcW w:w="1183" w:type="dxa"/>
            <w:tcBorders>
              <w:top w:val="nil"/>
              <w:bottom w:val="nil"/>
            </w:tcBorders>
            <w:shd w:val="clear" w:color="auto" w:fill="auto"/>
            <w:noWrap/>
            <w:vAlign w:val="center"/>
          </w:tcPr>
          <w:p w14:paraId="373A354E" w14:textId="77777777" w:rsidR="008A19C5" w:rsidRPr="00775CE7" w:rsidRDefault="008A19C5" w:rsidP="008A19C5">
            <w:pPr>
              <w:autoSpaceDE w:val="0"/>
              <w:autoSpaceDN w:val="0"/>
              <w:adjustRightInd w:val="0"/>
              <w:snapToGrid w:val="0"/>
              <w:spacing w:before="60" w:after="0" w:line="240" w:lineRule="auto"/>
              <w:jc w:val="center"/>
              <w:rPr>
                <w:rFonts w:ascii="Times New Roman" w:eastAsia="Times New Roman" w:hAnsi="Times New Roman" w:cs="Times New Roman"/>
                <w:b/>
                <w:sz w:val="20"/>
                <w:szCs w:val="20"/>
                <w:lang w:eastAsia="fr-FR"/>
              </w:rPr>
            </w:pPr>
            <w:r w:rsidRPr="00775CE7">
              <w:rPr>
                <w:rFonts w:ascii="Times New Roman" w:eastAsia="Times New Roman" w:hAnsi="Times New Roman" w:cs="Times New Roman"/>
                <w:b/>
                <w:sz w:val="20"/>
                <w:szCs w:val="20"/>
                <w:lang w:eastAsia="fr-FR"/>
              </w:rPr>
              <w:t>60</w:t>
            </w:r>
          </w:p>
        </w:tc>
        <w:tc>
          <w:tcPr>
            <w:tcW w:w="1185" w:type="dxa"/>
            <w:tcBorders>
              <w:top w:val="nil"/>
              <w:bottom w:val="nil"/>
            </w:tcBorders>
            <w:vAlign w:val="center"/>
          </w:tcPr>
          <w:p w14:paraId="4F1BCC73" w14:textId="77777777" w:rsidR="008A19C5" w:rsidRPr="00775CE7" w:rsidRDefault="008A19C5" w:rsidP="008A19C5">
            <w:pPr>
              <w:autoSpaceDE w:val="0"/>
              <w:autoSpaceDN w:val="0"/>
              <w:adjustRightInd w:val="0"/>
              <w:snapToGrid w:val="0"/>
              <w:spacing w:before="60" w:after="0" w:line="240" w:lineRule="auto"/>
              <w:jc w:val="center"/>
              <w:rPr>
                <w:rFonts w:ascii="Times New Roman" w:eastAsia="Times New Roman" w:hAnsi="Times New Roman" w:cs="Times New Roman"/>
                <w:b/>
                <w:color w:val="365F91" w:themeColor="accent1" w:themeShade="BF"/>
                <w:sz w:val="20"/>
                <w:szCs w:val="20"/>
                <w:lang w:eastAsia="fr-FR"/>
              </w:rPr>
            </w:pPr>
            <w:r w:rsidRPr="00775CE7">
              <w:rPr>
                <w:rFonts w:ascii="Times New Roman" w:eastAsia="Times New Roman" w:hAnsi="Times New Roman" w:cs="Times New Roman"/>
                <w:b/>
                <w:color w:val="365F91" w:themeColor="accent1" w:themeShade="BF"/>
                <w:sz w:val="20"/>
                <w:szCs w:val="20"/>
                <w:lang w:eastAsia="fr-FR"/>
              </w:rPr>
              <w:t>-4.3--7.6</w:t>
            </w:r>
            <w:r w:rsidRPr="00775CE7">
              <w:rPr>
                <w:rFonts w:ascii="Times New Roman" w:eastAsia="Times New Roman" w:hAnsi="Times New Roman" w:cs="Times New Roman"/>
                <w:b/>
                <w:color w:val="365F91" w:themeColor="accent1" w:themeShade="BF"/>
                <w:sz w:val="20"/>
                <w:szCs w:val="20"/>
                <w:lang w:eastAsia="fr-FR"/>
              </w:rPr>
              <w:br/>
            </w:r>
            <w:r w:rsidRPr="00775CE7">
              <w:rPr>
                <w:rFonts w:ascii="Times New Roman" w:eastAsia="Times New Roman" w:hAnsi="Times New Roman" w:cs="Times New Roman"/>
                <w:b/>
                <w:color w:val="943634" w:themeColor="accent2" w:themeShade="BF"/>
                <w:sz w:val="20"/>
                <w:szCs w:val="20"/>
                <w:lang w:eastAsia="fr-FR"/>
              </w:rPr>
              <w:t>-4.7--8.0</w:t>
            </w:r>
            <w:r w:rsidRPr="00775CE7">
              <w:rPr>
                <w:rFonts w:ascii="Times New Roman" w:eastAsia="Times New Roman" w:hAnsi="Times New Roman" w:cs="Times New Roman"/>
                <w:b/>
                <w:color w:val="943634" w:themeColor="accent2" w:themeShade="BF"/>
                <w:sz w:val="20"/>
                <w:szCs w:val="20"/>
                <w:lang w:eastAsia="fr-FR"/>
              </w:rPr>
              <w:br/>
            </w:r>
            <w:r w:rsidRPr="00775CE7">
              <w:rPr>
                <w:rFonts w:ascii="Times New Roman" w:eastAsia="Times New Roman" w:hAnsi="Times New Roman" w:cs="Times New Roman"/>
                <w:b/>
                <w:color w:val="948A54" w:themeColor="background2" w:themeShade="80"/>
                <w:sz w:val="20"/>
                <w:szCs w:val="20"/>
                <w:lang w:eastAsia="fr-FR"/>
              </w:rPr>
              <w:t>-8.6--11.7</w:t>
            </w:r>
          </w:p>
        </w:tc>
        <w:tc>
          <w:tcPr>
            <w:tcW w:w="1185" w:type="dxa"/>
            <w:tcBorders>
              <w:top w:val="nil"/>
              <w:bottom w:val="nil"/>
            </w:tcBorders>
            <w:vAlign w:val="center"/>
          </w:tcPr>
          <w:p w14:paraId="787F2CD1" w14:textId="77777777" w:rsidR="008A19C5" w:rsidRPr="00775CE7" w:rsidRDefault="008A19C5" w:rsidP="008A19C5">
            <w:pPr>
              <w:autoSpaceDE w:val="0"/>
              <w:autoSpaceDN w:val="0"/>
              <w:adjustRightInd w:val="0"/>
              <w:snapToGrid w:val="0"/>
              <w:spacing w:before="60" w:after="0" w:line="240" w:lineRule="auto"/>
              <w:jc w:val="center"/>
              <w:rPr>
                <w:rFonts w:ascii="Times New Roman" w:eastAsia="Times New Roman" w:hAnsi="Times New Roman" w:cs="Times New Roman"/>
                <w:b/>
                <w:color w:val="365F91" w:themeColor="accent1" w:themeShade="BF"/>
                <w:sz w:val="20"/>
                <w:szCs w:val="20"/>
                <w:lang w:eastAsia="fr-FR"/>
              </w:rPr>
            </w:pPr>
            <w:r w:rsidRPr="00775CE7">
              <w:rPr>
                <w:rFonts w:ascii="Times New Roman" w:eastAsia="Times New Roman" w:hAnsi="Times New Roman" w:cs="Times New Roman"/>
                <w:b/>
                <w:color w:val="365F91" w:themeColor="accent1" w:themeShade="BF"/>
                <w:sz w:val="20"/>
                <w:szCs w:val="20"/>
                <w:lang w:eastAsia="fr-FR"/>
              </w:rPr>
              <w:t>14.1-17.5</w:t>
            </w:r>
            <w:r w:rsidRPr="00775CE7">
              <w:rPr>
                <w:rFonts w:ascii="Times New Roman" w:eastAsia="Times New Roman" w:hAnsi="Times New Roman" w:cs="Times New Roman"/>
                <w:b/>
                <w:color w:val="365F91" w:themeColor="accent1" w:themeShade="BF"/>
                <w:sz w:val="20"/>
                <w:szCs w:val="20"/>
                <w:lang w:eastAsia="fr-FR"/>
              </w:rPr>
              <w:br/>
            </w:r>
            <w:r w:rsidRPr="00775CE7">
              <w:rPr>
                <w:rFonts w:ascii="Times New Roman" w:eastAsia="Times New Roman" w:hAnsi="Times New Roman" w:cs="Times New Roman"/>
                <w:b/>
                <w:color w:val="943634" w:themeColor="accent2" w:themeShade="BF"/>
                <w:sz w:val="20"/>
                <w:szCs w:val="20"/>
                <w:lang w:eastAsia="fr-FR"/>
              </w:rPr>
              <w:t>14.5-17.9</w:t>
            </w:r>
            <w:r w:rsidRPr="00775CE7">
              <w:rPr>
                <w:rFonts w:ascii="Times New Roman" w:eastAsia="Times New Roman" w:hAnsi="Times New Roman" w:cs="Times New Roman"/>
                <w:b/>
                <w:color w:val="943634" w:themeColor="accent2" w:themeShade="BF"/>
                <w:sz w:val="20"/>
                <w:szCs w:val="20"/>
                <w:lang w:eastAsia="fr-FR"/>
              </w:rPr>
              <w:br/>
            </w:r>
            <w:r w:rsidRPr="00775CE7">
              <w:rPr>
                <w:rFonts w:ascii="Times New Roman" w:eastAsia="Times New Roman" w:hAnsi="Times New Roman" w:cs="Times New Roman"/>
                <w:b/>
                <w:color w:val="948A54" w:themeColor="background2" w:themeShade="80"/>
                <w:sz w:val="20"/>
                <w:szCs w:val="20"/>
                <w:lang w:eastAsia="fr-FR"/>
              </w:rPr>
              <w:t>18.2-21.3</w:t>
            </w:r>
          </w:p>
        </w:tc>
        <w:tc>
          <w:tcPr>
            <w:tcW w:w="1185" w:type="dxa"/>
            <w:tcBorders>
              <w:top w:val="nil"/>
              <w:bottom w:val="nil"/>
            </w:tcBorders>
            <w:shd w:val="clear" w:color="auto" w:fill="auto"/>
            <w:vAlign w:val="center"/>
          </w:tcPr>
          <w:p w14:paraId="41E75459" w14:textId="77777777" w:rsidR="008A19C5" w:rsidRPr="00775CE7" w:rsidRDefault="008A19C5" w:rsidP="008A19C5">
            <w:pPr>
              <w:autoSpaceDE w:val="0"/>
              <w:autoSpaceDN w:val="0"/>
              <w:adjustRightInd w:val="0"/>
              <w:snapToGrid w:val="0"/>
              <w:spacing w:before="60" w:after="0" w:line="240" w:lineRule="auto"/>
              <w:jc w:val="center"/>
              <w:rPr>
                <w:rFonts w:ascii="Times New Roman" w:eastAsia="Times New Roman" w:hAnsi="Times New Roman" w:cs="Times New Roman"/>
                <w:b/>
                <w:color w:val="365F91" w:themeColor="accent1" w:themeShade="BF"/>
                <w:sz w:val="20"/>
                <w:szCs w:val="20"/>
                <w:lang w:eastAsia="fr-FR"/>
              </w:rPr>
            </w:pPr>
            <w:r w:rsidRPr="00775CE7">
              <w:rPr>
                <w:rFonts w:ascii="Times New Roman" w:eastAsia="Times New Roman" w:hAnsi="Times New Roman" w:cs="Times New Roman"/>
                <w:b/>
                <w:color w:val="365F91" w:themeColor="accent1" w:themeShade="BF"/>
                <w:sz w:val="20"/>
                <w:szCs w:val="20"/>
                <w:lang w:eastAsia="fr-FR"/>
              </w:rPr>
              <w:t>8.6-5.5</w:t>
            </w:r>
            <w:r w:rsidRPr="00775CE7">
              <w:rPr>
                <w:rFonts w:ascii="Times New Roman" w:eastAsia="Times New Roman" w:hAnsi="Times New Roman" w:cs="Times New Roman"/>
                <w:b/>
                <w:color w:val="365F91" w:themeColor="accent1" w:themeShade="BF"/>
                <w:sz w:val="20"/>
                <w:szCs w:val="20"/>
                <w:lang w:eastAsia="fr-FR"/>
              </w:rPr>
              <w:br/>
            </w:r>
            <w:r w:rsidRPr="00775CE7">
              <w:rPr>
                <w:rFonts w:ascii="Times New Roman" w:eastAsia="Times New Roman" w:hAnsi="Times New Roman" w:cs="Times New Roman"/>
                <w:b/>
                <w:color w:val="943634" w:themeColor="accent2" w:themeShade="BF"/>
                <w:sz w:val="20"/>
                <w:szCs w:val="20"/>
                <w:lang w:eastAsia="fr-FR"/>
              </w:rPr>
              <w:t>8.2-5.1</w:t>
            </w:r>
            <w:r w:rsidRPr="00775CE7">
              <w:rPr>
                <w:rFonts w:ascii="Times New Roman" w:eastAsia="Times New Roman" w:hAnsi="Times New Roman" w:cs="Times New Roman"/>
                <w:b/>
                <w:color w:val="943634" w:themeColor="accent2" w:themeShade="BF"/>
                <w:sz w:val="20"/>
                <w:szCs w:val="20"/>
                <w:lang w:eastAsia="fr-FR"/>
              </w:rPr>
              <w:br/>
            </w:r>
            <w:r w:rsidRPr="00775CE7">
              <w:rPr>
                <w:rFonts w:ascii="Times New Roman" w:eastAsia="Times New Roman" w:hAnsi="Times New Roman" w:cs="Times New Roman"/>
                <w:b/>
                <w:color w:val="948A54" w:themeColor="background2" w:themeShade="80"/>
                <w:sz w:val="20"/>
                <w:szCs w:val="20"/>
                <w:lang w:eastAsia="fr-FR"/>
              </w:rPr>
              <w:t>4.1-1.3</w:t>
            </w:r>
          </w:p>
        </w:tc>
        <w:tc>
          <w:tcPr>
            <w:tcW w:w="1185" w:type="dxa"/>
            <w:tcBorders>
              <w:top w:val="nil"/>
              <w:bottom w:val="nil"/>
            </w:tcBorders>
            <w:shd w:val="clear" w:color="auto" w:fill="auto"/>
            <w:vAlign w:val="center"/>
          </w:tcPr>
          <w:p w14:paraId="629BAF13" w14:textId="77777777" w:rsidR="008A19C5" w:rsidRPr="00775CE7" w:rsidRDefault="008A19C5" w:rsidP="008A19C5">
            <w:pPr>
              <w:autoSpaceDE w:val="0"/>
              <w:autoSpaceDN w:val="0"/>
              <w:adjustRightInd w:val="0"/>
              <w:snapToGrid w:val="0"/>
              <w:spacing w:before="60" w:after="0" w:line="240" w:lineRule="auto"/>
              <w:jc w:val="center"/>
              <w:rPr>
                <w:rFonts w:ascii="Times New Roman" w:eastAsia="Times New Roman" w:hAnsi="Times New Roman" w:cs="Times New Roman"/>
                <w:b/>
                <w:color w:val="365F91" w:themeColor="accent1" w:themeShade="BF"/>
                <w:sz w:val="20"/>
                <w:szCs w:val="20"/>
                <w:lang w:eastAsia="fr-FR"/>
              </w:rPr>
            </w:pPr>
            <w:r w:rsidRPr="00775CE7">
              <w:rPr>
                <w:rFonts w:ascii="Times New Roman" w:eastAsia="Times New Roman" w:hAnsi="Times New Roman" w:cs="Times New Roman"/>
                <w:b/>
                <w:color w:val="365F91" w:themeColor="accent1" w:themeShade="BF"/>
                <w:sz w:val="20"/>
                <w:szCs w:val="20"/>
                <w:lang w:eastAsia="fr-FR"/>
              </w:rPr>
              <w:t>12.3-15.7</w:t>
            </w:r>
            <w:r w:rsidRPr="00775CE7">
              <w:rPr>
                <w:rFonts w:ascii="Times New Roman" w:eastAsia="Times New Roman" w:hAnsi="Times New Roman" w:cs="Times New Roman"/>
                <w:b/>
                <w:color w:val="365F91" w:themeColor="accent1" w:themeShade="BF"/>
                <w:sz w:val="20"/>
                <w:szCs w:val="20"/>
                <w:lang w:eastAsia="fr-FR"/>
              </w:rPr>
              <w:br/>
            </w:r>
            <w:r w:rsidRPr="00775CE7">
              <w:rPr>
                <w:rFonts w:ascii="Times New Roman" w:eastAsia="Times New Roman" w:hAnsi="Times New Roman" w:cs="Times New Roman"/>
                <w:b/>
                <w:color w:val="943634" w:themeColor="accent2" w:themeShade="BF"/>
                <w:sz w:val="20"/>
                <w:szCs w:val="20"/>
                <w:lang w:eastAsia="fr-FR"/>
              </w:rPr>
              <w:t>12.8-16.0</w:t>
            </w:r>
            <w:r w:rsidRPr="00775CE7">
              <w:rPr>
                <w:rFonts w:ascii="Times New Roman" w:eastAsia="Times New Roman" w:hAnsi="Times New Roman" w:cs="Times New Roman"/>
                <w:b/>
                <w:color w:val="943634" w:themeColor="accent2" w:themeShade="BF"/>
                <w:sz w:val="20"/>
                <w:szCs w:val="20"/>
                <w:lang w:eastAsia="fr-FR"/>
              </w:rPr>
              <w:br/>
            </w:r>
            <w:r w:rsidRPr="00775CE7">
              <w:rPr>
                <w:rFonts w:ascii="Times New Roman" w:eastAsia="Times New Roman" w:hAnsi="Times New Roman" w:cs="Times New Roman"/>
                <w:b/>
                <w:color w:val="948A54" w:themeColor="background2" w:themeShade="80"/>
                <w:sz w:val="20"/>
                <w:szCs w:val="20"/>
                <w:lang w:eastAsia="fr-FR"/>
              </w:rPr>
              <w:t>16.5-19.5</w:t>
            </w:r>
          </w:p>
        </w:tc>
        <w:tc>
          <w:tcPr>
            <w:tcW w:w="1184" w:type="dxa"/>
            <w:tcBorders>
              <w:top w:val="nil"/>
              <w:bottom w:val="nil"/>
            </w:tcBorders>
            <w:shd w:val="clear" w:color="auto" w:fill="auto"/>
            <w:noWrap/>
            <w:vAlign w:val="center"/>
          </w:tcPr>
          <w:p w14:paraId="09985674" w14:textId="77777777" w:rsidR="008A19C5" w:rsidRPr="00775CE7" w:rsidRDefault="008A19C5" w:rsidP="008A19C5">
            <w:pPr>
              <w:autoSpaceDE w:val="0"/>
              <w:autoSpaceDN w:val="0"/>
              <w:adjustRightInd w:val="0"/>
              <w:snapToGrid w:val="0"/>
              <w:spacing w:before="60" w:after="0" w:line="240" w:lineRule="auto"/>
              <w:jc w:val="center"/>
              <w:rPr>
                <w:rFonts w:ascii="Times New Roman" w:eastAsia="Times New Roman" w:hAnsi="Times New Roman" w:cs="Times New Roman"/>
                <w:b/>
                <w:color w:val="365F91" w:themeColor="accent1" w:themeShade="BF"/>
                <w:sz w:val="20"/>
                <w:szCs w:val="20"/>
                <w:lang w:eastAsia="fr-FR"/>
              </w:rPr>
            </w:pPr>
            <w:r w:rsidRPr="00775CE7">
              <w:rPr>
                <w:rFonts w:ascii="Times New Roman" w:eastAsia="Times New Roman" w:hAnsi="Times New Roman" w:cs="Times New Roman"/>
                <w:b/>
                <w:color w:val="365F91" w:themeColor="accent1" w:themeShade="BF"/>
                <w:sz w:val="20"/>
                <w:szCs w:val="20"/>
                <w:lang w:eastAsia="fr-FR"/>
              </w:rPr>
              <w:t>22.7-20.1</w:t>
            </w:r>
            <w:r w:rsidRPr="00775CE7">
              <w:rPr>
                <w:rFonts w:ascii="Times New Roman" w:eastAsia="Times New Roman" w:hAnsi="Times New Roman" w:cs="Times New Roman"/>
                <w:b/>
                <w:color w:val="365F91" w:themeColor="accent1" w:themeShade="BF"/>
                <w:sz w:val="20"/>
                <w:szCs w:val="20"/>
                <w:lang w:eastAsia="fr-FR"/>
              </w:rPr>
              <w:br/>
            </w:r>
            <w:r w:rsidRPr="00775CE7">
              <w:rPr>
                <w:rFonts w:ascii="Times New Roman" w:eastAsia="Times New Roman" w:hAnsi="Times New Roman" w:cs="Times New Roman"/>
                <w:b/>
                <w:color w:val="943634" w:themeColor="accent2" w:themeShade="BF"/>
                <w:sz w:val="20"/>
                <w:szCs w:val="20"/>
                <w:lang w:eastAsia="fr-FR"/>
              </w:rPr>
              <w:t>22.3-19.7</w:t>
            </w:r>
            <w:r w:rsidRPr="00775CE7">
              <w:rPr>
                <w:rFonts w:ascii="Times New Roman" w:eastAsia="Times New Roman" w:hAnsi="Times New Roman" w:cs="Times New Roman"/>
                <w:b/>
                <w:color w:val="943634" w:themeColor="accent2" w:themeShade="BF"/>
                <w:sz w:val="20"/>
                <w:szCs w:val="20"/>
                <w:lang w:eastAsia="fr-FR"/>
              </w:rPr>
              <w:br/>
            </w:r>
            <w:r w:rsidRPr="00775CE7">
              <w:rPr>
                <w:rFonts w:ascii="Times New Roman" w:eastAsia="Times New Roman" w:hAnsi="Times New Roman" w:cs="Times New Roman"/>
                <w:b/>
                <w:color w:val="948A54" w:themeColor="background2" w:themeShade="80"/>
                <w:sz w:val="20"/>
                <w:szCs w:val="20"/>
                <w:lang w:eastAsia="fr-FR"/>
              </w:rPr>
              <w:t>18.1-15.7</w:t>
            </w:r>
          </w:p>
        </w:tc>
        <w:tc>
          <w:tcPr>
            <w:tcW w:w="1185" w:type="dxa"/>
            <w:tcBorders>
              <w:top w:val="nil"/>
              <w:bottom w:val="nil"/>
            </w:tcBorders>
            <w:shd w:val="clear" w:color="auto" w:fill="auto"/>
            <w:vAlign w:val="center"/>
          </w:tcPr>
          <w:p w14:paraId="34395EDB" w14:textId="77777777" w:rsidR="008A19C5" w:rsidRPr="00775CE7" w:rsidRDefault="008A19C5" w:rsidP="008A19C5">
            <w:pPr>
              <w:autoSpaceDE w:val="0"/>
              <w:autoSpaceDN w:val="0"/>
              <w:adjustRightInd w:val="0"/>
              <w:snapToGrid w:val="0"/>
              <w:spacing w:before="60" w:after="0" w:line="240" w:lineRule="auto"/>
              <w:jc w:val="center"/>
              <w:rPr>
                <w:rFonts w:ascii="Times New Roman" w:eastAsia="Times New Roman" w:hAnsi="Times New Roman" w:cs="Times New Roman"/>
                <w:b/>
                <w:color w:val="365F91" w:themeColor="accent1" w:themeShade="BF"/>
                <w:sz w:val="20"/>
                <w:szCs w:val="20"/>
                <w:lang w:eastAsia="fr-FR"/>
              </w:rPr>
            </w:pPr>
            <w:r w:rsidRPr="00775CE7">
              <w:rPr>
                <w:rFonts w:ascii="Times New Roman" w:eastAsia="Times New Roman" w:hAnsi="Times New Roman" w:cs="Times New Roman"/>
                <w:b/>
                <w:color w:val="365F91" w:themeColor="accent1" w:themeShade="BF"/>
                <w:sz w:val="20"/>
                <w:szCs w:val="20"/>
                <w:lang w:eastAsia="fr-FR"/>
              </w:rPr>
              <w:t>10.7-13.9</w:t>
            </w:r>
            <w:r w:rsidRPr="00775CE7">
              <w:rPr>
                <w:rFonts w:ascii="Times New Roman" w:eastAsia="Times New Roman" w:hAnsi="Times New Roman" w:cs="Times New Roman"/>
                <w:b/>
                <w:color w:val="365F91" w:themeColor="accent1" w:themeShade="BF"/>
                <w:sz w:val="20"/>
                <w:szCs w:val="20"/>
                <w:lang w:eastAsia="fr-FR"/>
              </w:rPr>
              <w:br/>
            </w:r>
            <w:r w:rsidRPr="00775CE7">
              <w:rPr>
                <w:rFonts w:ascii="Times New Roman" w:eastAsia="Times New Roman" w:hAnsi="Times New Roman" w:cs="Times New Roman"/>
                <w:b/>
                <w:color w:val="943634" w:themeColor="accent2" w:themeShade="BF"/>
                <w:sz w:val="20"/>
                <w:szCs w:val="20"/>
                <w:lang w:eastAsia="fr-FR"/>
              </w:rPr>
              <w:t>11.1-14.3</w:t>
            </w:r>
            <w:r w:rsidRPr="00775CE7">
              <w:rPr>
                <w:rFonts w:ascii="Times New Roman" w:eastAsia="Times New Roman" w:hAnsi="Times New Roman" w:cs="Times New Roman"/>
                <w:b/>
                <w:color w:val="943634" w:themeColor="accent2" w:themeShade="BF"/>
                <w:sz w:val="20"/>
                <w:szCs w:val="20"/>
                <w:lang w:eastAsia="fr-FR"/>
              </w:rPr>
              <w:br/>
            </w:r>
            <w:r w:rsidRPr="00775CE7">
              <w:rPr>
                <w:rFonts w:ascii="Times New Roman" w:eastAsia="Times New Roman" w:hAnsi="Times New Roman" w:cs="Times New Roman"/>
                <w:b/>
                <w:color w:val="948A54" w:themeColor="background2" w:themeShade="80"/>
                <w:sz w:val="20"/>
                <w:szCs w:val="20"/>
                <w:lang w:eastAsia="fr-FR"/>
              </w:rPr>
              <w:t>14.9-17.7</w:t>
            </w:r>
          </w:p>
        </w:tc>
        <w:tc>
          <w:tcPr>
            <w:tcW w:w="1184" w:type="dxa"/>
            <w:tcBorders>
              <w:top w:val="nil"/>
              <w:bottom w:val="nil"/>
            </w:tcBorders>
            <w:shd w:val="clear" w:color="auto" w:fill="auto"/>
            <w:vAlign w:val="center"/>
          </w:tcPr>
          <w:p w14:paraId="17F8D2AD" w14:textId="77777777" w:rsidR="008A19C5" w:rsidRPr="00775CE7" w:rsidRDefault="008A19C5" w:rsidP="008A19C5">
            <w:pPr>
              <w:autoSpaceDE w:val="0"/>
              <w:autoSpaceDN w:val="0"/>
              <w:adjustRightInd w:val="0"/>
              <w:snapToGrid w:val="0"/>
              <w:spacing w:before="60" w:after="0" w:line="240" w:lineRule="auto"/>
              <w:jc w:val="center"/>
              <w:rPr>
                <w:rFonts w:ascii="Times New Roman" w:eastAsia="Times New Roman" w:hAnsi="Times New Roman" w:cs="Times New Roman"/>
                <w:b/>
                <w:color w:val="365F91" w:themeColor="accent1" w:themeShade="BF"/>
                <w:sz w:val="20"/>
                <w:szCs w:val="20"/>
                <w:lang w:eastAsia="fr-FR"/>
              </w:rPr>
            </w:pPr>
            <w:r w:rsidRPr="00775CE7">
              <w:rPr>
                <w:rFonts w:ascii="Times New Roman" w:eastAsia="Times New Roman" w:hAnsi="Times New Roman" w:cs="Times New Roman"/>
                <w:b/>
                <w:color w:val="365F91" w:themeColor="accent1" w:themeShade="BF"/>
                <w:sz w:val="20"/>
                <w:szCs w:val="20"/>
                <w:lang w:eastAsia="fr-FR"/>
              </w:rPr>
              <w:t>37.9-36.2</w:t>
            </w:r>
            <w:r w:rsidRPr="00775CE7">
              <w:rPr>
                <w:rFonts w:ascii="Times New Roman" w:eastAsia="Times New Roman" w:hAnsi="Times New Roman" w:cs="Times New Roman"/>
                <w:b/>
                <w:color w:val="365F91" w:themeColor="accent1" w:themeShade="BF"/>
                <w:sz w:val="20"/>
                <w:szCs w:val="20"/>
                <w:lang w:eastAsia="fr-FR"/>
              </w:rPr>
              <w:br/>
            </w:r>
            <w:r w:rsidRPr="00775CE7">
              <w:rPr>
                <w:rFonts w:ascii="Times New Roman" w:eastAsia="Times New Roman" w:hAnsi="Times New Roman" w:cs="Times New Roman"/>
                <w:b/>
                <w:color w:val="943634" w:themeColor="accent2" w:themeShade="BF"/>
                <w:sz w:val="20"/>
                <w:szCs w:val="20"/>
                <w:lang w:eastAsia="fr-FR"/>
              </w:rPr>
              <w:t>37.9-35.8</w:t>
            </w:r>
            <w:r w:rsidRPr="00775CE7">
              <w:rPr>
                <w:rFonts w:ascii="Times New Roman" w:eastAsia="Times New Roman" w:hAnsi="Times New Roman" w:cs="Times New Roman"/>
                <w:b/>
                <w:color w:val="943634" w:themeColor="accent2" w:themeShade="BF"/>
                <w:sz w:val="20"/>
                <w:szCs w:val="20"/>
                <w:lang w:eastAsia="fr-FR"/>
              </w:rPr>
              <w:br/>
            </w:r>
            <w:r w:rsidRPr="00775CE7">
              <w:rPr>
                <w:rFonts w:ascii="Times New Roman" w:eastAsia="Times New Roman" w:hAnsi="Times New Roman" w:cs="Times New Roman"/>
                <w:b/>
                <w:color w:val="948A54" w:themeColor="background2" w:themeShade="80"/>
                <w:sz w:val="20"/>
                <w:szCs w:val="20"/>
                <w:lang w:eastAsia="fr-FR"/>
              </w:rPr>
              <w:t>34.0-31.8</w:t>
            </w:r>
          </w:p>
        </w:tc>
        <w:tc>
          <w:tcPr>
            <w:tcW w:w="1185" w:type="dxa"/>
            <w:tcBorders>
              <w:top w:val="nil"/>
              <w:bottom w:val="nil"/>
            </w:tcBorders>
            <w:shd w:val="clear" w:color="auto" w:fill="auto"/>
            <w:vAlign w:val="center"/>
          </w:tcPr>
          <w:p w14:paraId="3FB6E587" w14:textId="77777777" w:rsidR="008A19C5" w:rsidRPr="00775CE7" w:rsidRDefault="008A19C5" w:rsidP="008A19C5">
            <w:pPr>
              <w:autoSpaceDE w:val="0"/>
              <w:autoSpaceDN w:val="0"/>
              <w:adjustRightInd w:val="0"/>
              <w:snapToGrid w:val="0"/>
              <w:spacing w:before="60" w:after="0" w:line="240" w:lineRule="auto"/>
              <w:jc w:val="center"/>
              <w:rPr>
                <w:rFonts w:ascii="Times New Roman" w:eastAsia="Times New Roman" w:hAnsi="Times New Roman" w:cs="Times New Roman"/>
                <w:b/>
                <w:color w:val="365F91" w:themeColor="accent1" w:themeShade="BF"/>
                <w:sz w:val="20"/>
                <w:szCs w:val="20"/>
                <w:lang w:eastAsia="fr-FR"/>
              </w:rPr>
            </w:pPr>
            <w:r w:rsidRPr="00775CE7">
              <w:rPr>
                <w:rFonts w:ascii="Times New Roman" w:eastAsia="Times New Roman" w:hAnsi="Times New Roman" w:cs="Times New Roman"/>
                <w:b/>
                <w:color w:val="365F91" w:themeColor="accent1" w:themeShade="BF"/>
                <w:sz w:val="20"/>
                <w:szCs w:val="20"/>
                <w:lang w:eastAsia="fr-FR"/>
              </w:rPr>
              <w:t>9.2-12.2</w:t>
            </w:r>
            <w:r w:rsidRPr="00775CE7">
              <w:rPr>
                <w:rFonts w:ascii="Times New Roman" w:eastAsia="Times New Roman" w:hAnsi="Times New Roman" w:cs="Times New Roman"/>
                <w:b/>
                <w:color w:val="365F91" w:themeColor="accent1" w:themeShade="BF"/>
                <w:sz w:val="20"/>
                <w:szCs w:val="20"/>
                <w:lang w:eastAsia="fr-FR"/>
              </w:rPr>
              <w:br/>
            </w:r>
            <w:r w:rsidRPr="00775CE7">
              <w:rPr>
                <w:rFonts w:ascii="Times New Roman" w:eastAsia="Times New Roman" w:hAnsi="Times New Roman" w:cs="Times New Roman"/>
                <w:b/>
                <w:color w:val="943634" w:themeColor="accent2" w:themeShade="BF"/>
                <w:sz w:val="20"/>
                <w:szCs w:val="20"/>
                <w:lang w:eastAsia="fr-FR"/>
              </w:rPr>
              <w:t>9.5-12.6</w:t>
            </w:r>
            <w:r w:rsidRPr="00775CE7">
              <w:rPr>
                <w:rFonts w:ascii="Times New Roman" w:eastAsia="Times New Roman" w:hAnsi="Times New Roman" w:cs="Times New Roman"/>
                <w:b/>
                <w:color w:val="943634" w:themeColor="accent2" w:themeShade="BF"/>
                <w:sz w:val="20"/>
                <w:szCs w:val="20"/>
                <w:lang w:eastAsia="fr-FR"/>
              </w:rPr>
              <w:br/>
            </w:r>
            <w:r w:rsidRPr="00775CE7">
              <w:rPr>
                <w:rFonts w:ascii="Times New Roman" w:eastAsia="Times New Roman" w:hAnsi="Times New Roman" w:cs="Times New Roman"/>
                <w:b/>
                <w:color w:val="948A54" w:themeColor="background2" w:themeShade="80"/>
                <w:sz w:val="20"/>
                <w:szCs w:val="20"/>
                <w:lang w:eastAsia="fr-FR"/>
              </w:rPr>
              <w:t>13.3-16.0</w:t>
            </w:r>
          </w:p>
        </w:tc>
      </w:tr>
      <w:tr w:rsidR="008A19C5" w:rsidRPr="00775CE7" w14:paraId="289C2D6A" w14:textId="77777777" w:rsidTr="008A19C5">
        <w:trPr>
          <w:trHeight w:val="184"/>
        </w:trPr>
        <w:tc>
          <w:tcPr>
            <w:tcW w:w="1183" w:type="dxa"/>
            <w:tcBorders>
              <w:top w:val="nil"/>
              <w:bottom w:val="nil"/>
            </w:tcBorders>
            <w:shd w:val="clear" w:color="auto" w:fill="auto"/>
            <w:noWrap/>
            <w:vAlign w:val="center"/>
          </w:tcPr>
          <w:p w14:paraId="48C4560A" w14:textId="77777777" w:rsidR="008A19C5" w:rsidRPr="00775CE7" w:rsidRDefault="008A19C5" w:rsidP="008A19C5">
            <w:pPr>
              <w:autoSpaceDE w:val="0"/>
              <w:autoSpaceDN w:val="0"/>
              <w:adjustRightInd w:val="0"/>
              <w:snapToGrid w:val="0"/>
              <w:spacing w:before="60" w:after="0" w:line="240" w:lineRule="auto"/>
              <w:jc w:val="center"/>
              <w:rPr>
                <w:rFonts w:ascii="Times New Roman" w:eastAsia="Times New Roman" w:hAnsi="Times New Roman" w:cs="Times New Roman"/>
                <w:b/>
                <w:sz w:val="20"/>
                <w:szCs w:val="20"/>
                <w:lang w:eastAsia="fr-FR"/>
              </w:rPr>
            </w:pPr>
            <w:r w:rsidRPr="00775CE7">
              <w:rPr>
                <w:rFonts w:ascii="Times New Roman" w:eastAsia="Times New Roman" w:hAnsi="Times New Roman" w:cs="Times New Roman"/>
                <w:b/>
                <w:sz w:val="20"/>
                <w:szCs w:val="20"/>
                <w:lang w:eastAsia="fr-FR"/>
              </w:rPr>
              <w:t>100</w:t>
            </w:r>
          </w:p>
        </w:tc>
        <w:tc>
          <w:tcPr>
            <w:tcW w:w="1185" w:type="dxa"/>
            <w:tcBorders>
              <w:top w:val="nil"/>
              <w:bottom w:val="nil"/>
            </w:tcBorders>
            <w:vAlign w:val="center"/>
          </w:tcPr>
          <w:p w14:paraId="2F259A3F" w14:textId="77777777" w:rsidR="008A19C5" w:rsidRPr="00775CE7" w:rsidRDefault="008A19C5" w:rsidP="008A19C5">
            <w:pPr>
              <w:autoSpaceDE w:val="0"/>
              <w:autoSpaceDN w:val="0"/>
              <w:adjustRightInd w:val="0"/>
              <w:snapToGrid w:val="0"/>
              <w:spacing w:before="60" w:after="0" w:line="240" w:lineRule="auto"/>
              <w:jc w:val="center"/>
              <w:rPr>
                <w:rFonts w:ascii="Times New Roman" w:eastAsia="Times New Roman" w:hAnsi="Times New Roman" w:cs="Times New Roman"/>
                <w:b/>
                <w:sz w:val="20"/>
                <w:szCs w:val="20"/>
                <w:lang w:eastAsia="fr-FR"/>
              </w:rPr>
            </w:pPr>
            <w:r w:rsidRPr="00775CE7">
              <w:rPr>
                <w:rFonts w:ascii="Times New Roman" w:eastAsia="Times New Roman" w:hAnsi="Times New Roman" w:cs="Times New Roman"/>
                <w:b/>
                <w:color w:val="365F91" w:themeColor="accent1" w:themeShade="BF"/>
                <w:sz w:val="20"/>
                <w:szCs w:val="20"/>
                <w:lang w:eastAsia="fr-FR"/>
              </w:rPr>
              <w:t>-4.3--7.6</w:t>
            </w:r>
            <w:r w:rsidRPr="00775CE7">
              <w:rPr>
                <w:rFonts w:ascii="Times New Roman" w:eastAsia="Times New Roman" w:hAnsi="Times New Roman" w:cs="Times New Roman"/>
                <w:b/>
                <w:color w:val="365F91" w:themeColor="accent1" w:themeShade="BF"/>
                <w:sz w:val="20"/>
                <w:szCs w:val="20"/>
                <w:lang w:eastAsia="fr-FR"/>
              </w:rPr>
              <w:br/>
            </w:r>
            <w:r w:rsidRPr="00775CE7">
              <w:rPr>
                <w:rFonts w:ascii="Times New Roman" w:eastAsia="Times New Roman" w:hAnsi="Times New Roman" w:cs="Times New Roman"/>
                <w:b/>
                <w:color w:val="943634" w:themeColor="accent2" w:themeShade="BF"/>
                <w:sz w:val="20"/>
                <w:szCs w:val="20"/>
                <w:lang w:eastAsia="fr-FR"/>
              </w:rPr>
              <w:t>-4.7--8.0</w:t>
            </w:r>
            <w:r w:rsidRPr="00775CE7">
              <w:rPr>
                <w:rFonts w:ascii="Times New Roman" w:eastAsia="Times New Roman" w:hAnsi="Times New Roman" w:cs="Times New Roman"/>
                <w:b/>
                <w:color w:val="943634" w:themeColor="accent2" w:themeShade="BF"/>
                <w:sz w:val="20"/>
                <w:szCs w:val="20"/>
                <w:lang w:eastAsia="fr-FR"/>
              </w:rPr>
              <w:br/>
            </w:r>
            <w:r w:rsidRPr="00775CE7">
              <w:rPr>
                <w:rFonts w:ascii="Times New Roman" w:eastAsia="Times New Roman" w:hAnsi="Times New Roman" w:cs="Times New Roman"/>
                <w:b/>
                <w:color w:val="948A54" w:themeColor="background2" w:themeShade="80"/>
                <w:sz w:val="20"/>
                <w:szCs w:val="20"/>
                <w:lang w:eastAsia="fr-FR"/>
              </w:rPr>
              <w:t>-8.6--11.7</w:t>
            </w:r>
          </w:p>
        </w:tc>
        <w:tc>
          <w:tcPr>
            <w:tcW w:w="1185" w:type="dxa"/>
            <w:tcBorders>
              <w:top w:val="nil"/>
              <w:bottom w:val="nil"/>
            </w:tcBorders>
            <w:vAlign w:val="center"/>
          </w:tcPr>
          <w:p w14:paraId="509B29D8" w14:textId="77777777" w:rsidR="008A19C5" w:rsidRPr="00775CE7" w:rsidRDefault="008A19C5" w:rsidP="008A19C5">
            <w:pPr>
              <w:autoSpaceDE w:val="0"/>
              <w:autoSpaceDN w:val="0"/>
              <w:adjustRightInd w:val="0"/>
              <w:snapToGrid w:val="0"/>
              <w:spacing w:before="60" w:after="0" w:line="240" w:lineRule="auto"/>
              <w:jc w:val="center"/>
              <w:rPr>
                <w:rFonts w:ascii="Times New Roman" w:eastAsia="Times New Roman" w:hAnsi="Times New Roman" w:cs="Times New Roman"/>
                <w:b/>
                <w:sz w:val="20"/>
                <w:szCs w:val="20"/>
                <w:lang w:eastAsia="fr-FR"/>
              </w:rPr>
            </w:pPr>
            <w:r w:rsidRPr="00775CE7">
              <w:rPr>
                <w:rFonts w:ascii="Times New Roman" w:eastAsia="Times New Roman" w:hAnsi="Times New Roman" w:cs="Times New Roman"/>
                <w:b/>
                <w:color w:val="365F91" w:themeColor="accent1" w:themeShade="BF"/>
                <w:sz w:val="20"/>
                <w:szCs w:val="20"/>
                <w:lang w:eastAsia="fr-FR"/>
              </w:rPr>
              <w:t>14.1-17.5</w:t>
            </w:r>
            <w:r w:rsidRPr="00775CE7">
              <w:rPr>
                <w:rFonts w:ascii="Times New Roman" w:eastAsia="Times New Roman" w:hAnsi="Times New Roman" w:cs="Times New Roman"/>
                <w:b/>
                <w:color w:val="365F91" w:themeColor="accent1" w:themeShade="BF"/>
                <w:sz w:val="20"/>
                <w:szCs w:val="20"/>
                <w:lang w:eastAsia="fr-FR"/>
              </w:rPr>
              <w:br/>
            </w:r>
            <w:r w:rsidRPr="00775CE7">
              <w:rPr>
                <w:rFonts w:ascii="Times New Roman" w:eastAsia="Times New Roman" w:hAnsi="Times New Roman" w:cs="Times New Roman"/>
                <w:b/>
                <w:color w:val="943634" w:themeColor="accent2" w:themeShade="BF"/>
                <w:sz w:val="20"/>
                <w:szCs w:val="20"/>
                <w:lang w:eastAsia="fr-FR"/>
              </w:rPr>
              <w:t>14.5-17.9</w:t>
            </w:r>
            <w:r w:rsidRPr="00775CE7">
              <w:rPr>
                <w:rFonts w:ascii="Times New Roman" w:eastAsia="Times New Roman" w:hAnsi="Times New Roman" w:cs="Times New Roman"/>
                <w:b/>
                <w:color w:val="943634" w:themeColor="accent2" w:themeShade="BF"/>
                <w:sz w:val="20"/>
                <w:szCs w:val="20"/>
                <w:lang w:eastAsia="fr-FR"/>
              </w:rPr>
              <w:br/>
            </w:r>
            <w:r w:rsidRPr="00775CE7">
              <w:rPr>
                <w:rFonts w:ascii="Times New Roman" w:eastAsia="Times New Roman" w:hAnsi="Times New Roman" w:cs="Times New Roman"/>
                <w:b/>
                <w:color w:val="948A54" w:themeColor="background2" w:themeShade="80"/>
                <w:sz w:val="20"/>
                <w:szCs w:val="20"/>
                <w:lang w:eastAsia="fr-FR"/>
              </w:rPr>
              <w:t>18.3-21.4</w:t>
            </w:r>
          </w:p>
        </w:tc>
        <w:tc>
          <w:tcPr>
            <w:tcW w:w="1185" w:type="dxa"/>
            <w:tcBorders>
              <w:top w:val="nil"/>
              <w:bottom w:val="nil"/>
            </w:tcBorders>
            <w:shd w:val="clear" w:color="auto" w:fill="auto"/>
            <w:vAlign w:val="center"/>
          </w:tcPr>
          <w:p w14:paraId="6BA11DD4" w14:textId="77777777" w:rsidR="008A19C5" w:rsidRPr="00775CE7" w:rsidRDefault="008A19C5" w:rsidP="008A19C5">
            <w:pPr>
              <w:autoSpaceDE w:val="0"/>
              <w:autoSpaceDN w:val="0"/>
              <w:adjustRightInd w:val="0"/>
              <w:snapToGrid w:val="0"/>
              <w:spacing w:before="60" w:after="0" w:line="240" w:lineRule="auto"/>
              <w:jc w:val="center"/>
              <w:rPr>
                <w:rFonts w:ascii="Times New Roman" w:eastAsia="Times New Roman" w:hAnsi="Times New Roman" w:cs="Times New Roman"/>
                <w:b/>
                <w:sz w:val="20"/>
                <w:szCs w:val="20"/>
                <w:lang w:eastAsia="fr-FR"/>
              </w:rPr>
            </w:pPr>
            <w:r w:rsidRPr="00775CE7">
              <w:rPr>
                <w:rFonts w:ascii="Times New Roman" w:eastAsia="Times New Roman" w:hAnsi="Times New Roman" w:cs="Times New Roman"/>
                <w:b/>
                <w:color w:val="365F91" w:themeColor="accent1" w:themeShade="BF"/>
                <w:sz w:val="20"/>
                <w:szCs w:val="20"/>
                <w:lang w:eastAsia="fr-FR"/>
              </w:rPr>
              <w:t>8.6-5.5</w:t>
            </w:r>
            <w:r w:rsidRPr="00775CE7">
              <w:rPr>
                <w:rFonts w:ascii="Times New Roman" w:eastAsia="Times New Roman" w:hAnsi="Times New Roman" w:cs="Times New Roman"/>
                <w:b/>
                <w:color w:val="365F91" w:themeColor="accent1" w:themeShade="BF"/>
                <w:sz w:val="20"/>
                <w:szCs w:val="20"/>
                <w:lang w:eastAsia="fr-FR"/>
              </w:rPr>
              <w:br/>
            </w:r>
            <w:r w:rsidRPr="00775CE7">
              <w:rPr>
                <w:rFonts w:ascii="Times New Roman" w:eastAsia="Times New Roman" w:hAnsi="Times New Roman" w:cs="Times New Roman"/>
                <w:b/>
                <w:color w:val="943634" w:themeColor="accent2" w:themeShade="BF"/>
                <w:sz w:val="20"/>
                <w:szCs w:val="20"/>
                <w:lang w:eastAsia="fr-FR"/>
              </w:rPr>
              <w:t>8.2-5.1</w:t>
            </w:r>
            <w:r w:rsidRPr="00775CE7">
              <w:rPr>
                <w:rFonts w:ascii="Times New Roman" w:eastAsia="Times New Roman" w:hAnsi="Times New Roman" w:cs="Times New Roman"/>
                <w:b/>
                <w:color w:val="943634" w:themeColor="accent2" w:themeShade="BF"/>
                <w:sz w:val="20"/>
                <w:szCs w:val="20"/>
                <w:lang w:eastAsia="fr-FR"/>
              </w:rPr>
              <w:br/>
            </w:r>
            <w:r w:rsidRPr="00775CE7">
              <w:rPr>
                <w:rFonts w:ascii="Times New Roman" w:eastAsia="Times New Roman" w:hAnsi="Times New Roman" w:cs="Times New Roman"/>
                <w:b/>
                <w:color w:val="948A54" w:themeColor="background2" w:themeShade="80"/>
                <w:sz w:val="20"/>
                <w:szCs w:val="20"/>
                <w:lang w:eastAsia="fr-FR"/>
              </w:rPr>
              <w:t>4.1-1.3</w:t>
            </w:r>
          </w:p>
        </w:tc>
        <w:tc>
          <w:tcPr>
            <w:tcW w:w="1185" w:type="dxa"/>
            <w:tcBorders>
              <w:top w:val="nil"/>
              <w:bottom w:val="nil"/>
            </w:tcBorders>
            <w:shd w:val="clear" w:color="auto" w:fill="auto"/>
            <w:vAlign w:val="center"/>
          </w:tcPr>
          <w:p w14:paraId="1F025078" w14:textId="77777777" w:rsidR="008A19C5" w:rsidRPr="00775CE7" w:rsidRDefault="008A19C5" w:rsidP="008A19C5">
            <w:pPr>
              <w:autoSpaceDE w:val="0"/>
              <w:autoSpaceDN w:val="0"/>
              <w:adjustRightInd w:val="0"/>
              <w:snapToGrid w:val="0"/>
              <w:spacing w:before="60" w:after="0" w:line="240" w:lineRule="auto"/>
              <w:jc w:val="center"/>
              <w:rPr>
                <w:rFonts w:ascii="Times New Roman" w:eastAsia="Times New Roman" w:hAnsi="Times New Roman" w:cs="Times New Roman"/>
                <w:b/>
                <w:sz w:val="20"/>
                <w:szCs w:val="20"/>
                <w:lang w:eastAsia="fr-FR"/>
              </w:rPr>
            </w:pPr>
            <w:r w:rsidRPr="00775CE7">
              <w:rPr>
                <w:rFonts w:ascii="Times New Roman" w:eastAsia="Times New Roman" w:hAnsi="Times New Roman" w:cs="Times New Roman"/>
                <w:b/>
                <w:color w:val="365F91" w:themeColor="accent1" w:themeShade="BF"/>
                <w:sz w:val="20"/>
                <w:szCs w:val="20"/>
                <w:lang w:eastAsia="fr-FR"/>
              </w:rPr>
              <w:t>12.3-15.7</w:t>
            </w:r>
            <w:r w:rsidRPr="00775CE7">
              <w:rPr>
                <w:rFonts w:ascii="Times New Roman" w:eastAsia="Times New Roman" w:hAnsi="Times New Roman" w:cs="Times New Roman"/>
                <w:b/>
                <w:color w:val="365F91" w:themeColor="accent1" w:themeShade="BF"/>
                <w:sz w:val="20"/>
                <w:szCs w:val="20"/>
                <w:lang w:eastAsia="fr-FR"/>
              </w:rPr>
              <w:br/>
            </w:r>
            <w:r w:rsidRPr="00775CE7">
              <w:rPr>
                <w:rFonts w:ascii="Times New Roman" w:eastAsia="Times New Roman" w:hAnsi="Times New Roman" w:cs="Times New Roman"/>
                <w:b/>
                <w:color w:val="943634" w:themeColor="accent2" w:themeShade="BF"/>
                <w:sz w:val="20"/>
                <w:szCs w:val="20"/>
                <w:lang w:eastAsia="fr-FR"/>
              </w:rPr>
              <w:t>12.8-16.0</w:t>
            </w:r>
            <w:r w:rsidRPr="00775CE7">
              <w:rPr>
                <w:rFonts w:ascii="Times New Roman" w:eastAsia="Times New Roman" w:hAnsi="Times New Roman" w:cs="Times New Roman"/>
                <w:b/>
                <w:color w:val="943634" w:themeColor="accent2" w:themeShade="BF"/>
                <w:sz w:val="20"/>
                <w:szCs w:val="20"/>
                <w:lang w:eastAsia="fr-FR"/>
              </w:rPr>
              <w:br/>
            </w:r>
            <w:r w:rsidRPr="00775CE7">
              <w:rPr>
                <w:rFonts w:ascii="Times New Roman" w:eastAsia="Times New Roman" w:hAnsi="Times New Roman" w:cs="Times New Roman"/>
                <w:b/>
                <w:color w:val="948A54" w:themeColor="background2" w:themeShade="80"/>
                <w:sz w:val="20"/>
                <w:szCs w:val="20"/>
                <w:lang w:eastAsia="fr-FR"/>
              </w:rPr>
              <w:t>16.5-19.5</w:t>
            </w:r>
          </w:p>
        </w:tc>
        <w:tc>
          <w:tcPr>
            <w:tcW w:w="1184" w:type="dxa"/>
            <w:tcBorders>
              <w:top w:val="nil"/>
              <w:bottom w:val="nil"/>
            </w:tcBorders>
            <w:shd w:val="clear" w:color="auto" w:fill="auto"/>
            <w:noWrap/>
            <w:vAlign w:val="center"/>
          </w:tcPr>
          <w:p w14:paraId="36D5C836" w14:textId="77777777" w:rsidR="008A19C5" w:rsidRPr="00775CE7" w:rsidRDefault="008A19C5" w:rsidP="008A19C5">
            <w:pPr>
              <w:autoSpaceDE w:val="0"/>
              <w:autoSpaceDN w:val="0"/>
              <w:adjustRightInd w:val="0"/>
              <w:snapToGrid w:val="0"/>
              <w:spacing w:before="60" w:after="0" w:line="240" w:lineRule="auto"/>
              <w:jc w:val="center"/>
              <w:rPr>
                <w:rFonts w:ascii="Times New Roman" w:eastAsia="Times New Roman" w:hAnsi="Times New Roman" w:cs="Times New Roman"/>
                <w:b/>
                <w:sz w:val="20"/>
                <w:szCs w:val="20"/>
                <w:lang w:eastAsia="fr-FR"/>
              </w:rPr>
            </w:pPr>
            <w:r w:rsidRPr="00775CE7">
              <w:rPr>
                <w:rFonts w:ascii="Times New Roman" w:eastAsia="Times New Roman" w:hAnsi="Times New Roman" w:cs="Times New Roman"/>
                <w:b/>
                <w:color w:val="365F91" w:themeColor="accent1" w:themeShade="BF"/>
                <w:sz w:val="20"/>
                <w:szCs w:val="20"/>
                <w:lang w:eastAsia="fr-FR"/>
              </w:rPr>
              <w:t>22.7-20.1</w:t>
            </w:r>
            <w:r w:rsidRPr="00775CE7">
              <w:rPr>
                <w:rFonts w:ascii="Times New Roman" w:eastAsia="Times New Roman" w:hAnsi="Times New Roman" w:cs="Times New Roman"/>
                <w:b/>
                <w:color w:val="365F91" w:themeColor="accent1" w:themeShade="BF"/>
                <w:sz w:val="20"/>
                <w:szCs w:val="20"/>
                <w:lang w:eastAsia="fr-FR"/>
              </w:rPr>
              <w:br/>
            </w:r>
            <w:r w:rsidRPr="00775CE7">
              <w:rPr>
                <w:rFonts w:ascii="Times New Roman" w:eastAsia="Times New Roman" w:hAnsi="Times New Roman" w:cs="Times New Roman"/>
                <w:b/>
                <w:color w:val="943634" w:themeColor="accent2" w:themeShade="BF"/>
                <w:sz w:val="20"/>
                <w:szCs w:val="20"/>
                <w:lang w:eastAsia="fr-FR"/>
              </w:rPr>
              <w:t>22.3-19.7</w:t>
            </w:r>
            <w:r w:rsidRPr="00775CE7">
              <w:rPr>
                <w:rFonts w:ascii="Times New Roman" w:eastAsia="Times New Roman" w:hAnsi="Times New Roman" w:cs="Times New Roman"/>
                <w:b/>
                <w:color w:val="943634" w:themeColor="accent2" w:themeShade="BF"/>
                <w:sz w:val="20"/>
                <w:szCs w:val="20"/>
                <w:lang w:eastAsia="fr-FR"/>
              </w:rPr>
              <w:br/>
            </w:r>
            <w:r w:rsidRPr="00775CE7">
              <w:rPr>
                <w:rFonts w:ascii="Times New Roman" w:eastAsia="Times New Roman" w:hAnsi="Times New Roman" w:cs="Times New Roman"/>
                <w:b/>
                <w:color w:val="948A54" w:themeColor="background2" w:themeShade="80"/>
                <w:sz w:val="20"/>
                <w:szCs w:val="20"/>
                <w:lang w:eastAsia="fr-FR"/>
              </w:rPr>
              <w:t>18.1-15.7</w:t>
            </w:r>
          </w:p>
        </w:tc>
        <w:tc>
          <w:tcPr>
            <w:tcW w:w="1185" w:type="dxa"/>
            <w:tcBorders>
              <w:top w:val="nil"/>
              <w:bottom w:val="nil"/>
            </w:tcBorders>
            <w:shd w:val="clear" w:color="auto" w:fill="auto"/>
            <w:vAlign w:val="center"/>
          </w:tcPr>
          <w:p w14:paraId="426E976F" w14:textId="77777777" w:rsidR="008A19C5" w:rsidRPr="00775CE7" w:rsidRDefault="008A19C5" w:rsidP="008A19C5">
            <w:pPr>
              <w:autoSpaceDE w:val="0"/>
              <w:autoSpaceDN w:val="0"/>
              <w:adjustRightInd w:val="0"/>
              <w:snapToGrid w:val="0"/>
              <w:spacing w:before="60" w:after="0" w:line="240" w:lineRule="auto"/>
              <w:jc w:val="center"/>
              <w:rPr>
                <w:rFonts w:ascii="Times New Roman" w:eastAsia="Times New Roman" w:hAnsi="Times New Roman" w:cs="Times New Roman"/>
                <w:b/>
                <w:sz w:val="20"/>
                <w:szCs w:val="20"/>
                <w:lang w:eastAsia="fr-FR"/>
              </w:rPr>
            </w:pPr>
            <w:r w:rsidRPr="00775CE7">
              <w:rPr>
                <w:rFonts w:ascii="Times New Roman" w:eastAsia="Times New Roman" w:hAnsi="Times New Roman" w:cs="Times New Roman"/>
                <w:b/>
                <w:color w:val="365F91" w:themeColor="accent1" w:themeShade="BF"/>
                <w:sz w:val="20"/>
                <w:szCs w:val="20"/>
                <w:lang w:eastAsia="fr-FR"/>
              </w:rPr>
              <w:t>10.7-13.9</w:t>
            </w:r>
            <w:r w:rsidRPr="00775CE7">
              <w:rPr>
                <w:rFonts w:ascii="Times New Roman" w:eastAsia="Times New Roman" w:hAnsi="Times New Roman" w:cs="Times New Roman"/>
                <w:b/>
                <w:color w:val="365F91" w:themeColor="accent1" w:themeShade="BF"/>
                <w:sz w:val="20"/>
                <w:szCs w:val="20"/>
                <w:lang w:eastAsia="fr-FR"/>
              </w:rPr>
              <w:br/>
            </w:r>
            <w:r w:rsidRPr="00775CE7">
              <w:rPr>
                <w:rFonts w:ascii="Times New Roman" w:eastAsia="Times New Roman" w:hAnsi="Times New Roman" w:cs="Times New Roman"/>
                <w:b/>
                <w:color w:val="943634" w:themeColor="accent2" w:themeShade="BF"/>
                <w:sz w:val="20"/>
                <w:szCs w:val="20"/>
                <w:lang w:eastAsia="fr-FR"/>
              </w:rPr>
              <w:t>11.1-14.3</w:t>
            </w:r>
            <w:r w:rsidRPr="00775CE7">
              <w:rPr>
                <w:rFonts w:ascii="Times New Roman" w:eastAsia="Times New Roman" w:hAnsi="Times New Roman" w:cs="Times New Roman"/>
                <w:b/>
                <w:color w:val="943634" w:themeColor="accent2" w:themeShade="BF"/>
                <w:sz w:val="20"/>
                <w:szCs w:val="20"/>
                <w:lang w:eastAsia="fr-FR"/>
              </w:rPr>
              <w:br/>
            </w:r>
            <w:r w:rsidRPr="00775CE7">
              <w:rPr>
                <w:rFonts w:ascii="Times New Roman" w:eastAsia="Times New Roman" w:hAnsi="Times New Roman" w:cs="Times New Roman"/>
                <w:b/>
                <w:color w:val="948A54" w:themeColor="background2" w:themeShade="80"/>
                <w:sz w:val="20"/>
                <w:szCs w:val="20"/>
                <w:lang w:eastAsia="fr-FR"/>
              </w:rPr>
              <w:t>14.9-17.7</w:t>
            </w:r>
          </w:p>
        </w:tc>
        <w:tc>
          <w:tcPr>
            <w:tcW w:w="1184" w:type="dxa"/>
            <w:tcBorders>
              <w:top w:val="nil"/>
              <w:bottom w:val="nil"/>
            </w:tcBorders>
            <w:shd w:val="clear" w:color="auto" w:fill="auto"/>
            <w:vAlign w:val="center"/>
          </w:tcPr>
          <w:p w14:paraId="27B452AB" w14:textId="77777777" w:rsidR="008A19C5" w:rsidRPr="00775CE7" w:rsidRDefault="008A19C5" w:rsidP="008A19C5">
            <w:pPr>
              <w:autoSpaceDE w:val="0"/>
              <w:autoSpaceDN w:val="0"/>
              <w:adjustRightInd w:val="0"/>
              <w:snapToGrid w:val="0"/>
              <w:spacing w:before="60" w:after="0" w:line="240" w:lineRule="auto"/>
              <w:jc w:val="center"/>
              <w:rPr>
                <w:rFonts w:ascii="Times New Roman" w:eastAsia="Times New Roman" w:hAnsi="Times New Roman" w:cs="Times New Roman"/>
                <w:b/>
                <w:sz w:val="20"/>
                <w:szCs w:val="20"/>
                <w:lang w:eastAsia="fr-FR"/>
              </w:rPr>
            </w:pPr>
            <w:r w:rsidRPr="00775CE7">
              <w:rPr>
                <w:rFonts w:ascii="Times New Roman" w:eastAsia="Times New Roman" w:hAnsi="Times New Roman" w:cs="Times New Roman"/>
                <w:b/>
                <w:color w:val="365F91" w:themeColor="accent1" w:themeShade="BF"/>
                <w:sz w:val="20"/>
                <w:szCs w:val="20"/>
                <w:lang w:eastAsia="fr-FR"/>
              </w:rPr>
              <w:t>37.9-36.2</w:t>
            </w:r>
            <w:r w:rsidRPr="00775CE7">
              <w:rPr>
                <w:rFonts w:ascii="Times New Roman" w:eastAsia="Times New Roman" w:hAnsi="Times New Roman" w:cs="Times New Roman"/>
                <w:b/>
                <w:color w:val="365F91" w:themeColor="accent1" w:themeShade="BF"/>
                <w:sz w:val="20"/>
                <w:szCs w:val="20"/>
                <w:lang w:eastAsia="fr-FR"/>
              </w:rPr>
              <w:br/>
            </w:r>
            <w:r w:rsidRPr="00775CE7">
              <w:rPr>
                <w:rFonts w:ascii="Times New Roman" w:eastAsia="Times New Roman" w:hAnsi="Times New Roman" w:cs="Times New Roman"/>
                <w:b/>
                <w:color w:val="943634" w:themeColor="accent2" w:themeShade="BF"/>
                <w:sz w:val="20"/>
                <w:szCs w:val="20"/>
                <w:lang w:eastAsia="fr-FR"/>
              </w:rPr>
              <w:t>37.9-35.8</w:t>
            </w:r>
            <w:r w:rsidRPr="00775CE7">
              <w:rPr>
                <w:rFonts w:ascii="Times New Roman" w:eastAsia="Times New Roman" w:hAnsi="Times New Roman" w:cs="Times New Roman"/>
                <w:b/>
                <w:color w:val="943634" w:themeColor="accent2" w:themeShade="BF"/>
                <w:sz w:val="20"/>
                <w:szCs w:val="20"/>
                <w:lang w:eastAsia="fr-FR"/>
              </w:rPr>
              <w:br/>
            </w:r>
            <w:r w:rsidRPr="00775CE7">
              <w:rPr>
                <w:rFonts w:ascii="Times New Roman" w:eastAsia="Times New Roman" w:hAnsi="Times New Roman" w:cs="Times New Roman"/>
                <w:b/>
                <w:color w:val="948A54" w:themeColor="background2" w:themeShade="80"/>
                <w:sz w:val="20"/>
                <w:szCs w:val="20"/>
                <w:lang w:eastAsia="fr-FR"/>
              </w:rPr>
              <w:t>34.0-31.8</w:t>
            </w:r>
          </w:p>
        </w:tc>
        <w:tc>
          <w:tcPr>
            <w:tcW w:w="1185" w:type="dxa"/>
            <w:tcBorders>
              <w:top w:val="nil"/>
              <w:bottom w:val="nil"/>
            </w:tcBorders>
            <w:shd w:val="clear" w:color="auto" w:fill="auto"/>
            <w:vAlign w:val="center"/>
          </w:tcPr>
          <w:p w14:paraId="4BD43FB0" w14:textId="77777777" w:rsidR="008A19C5" w:rsidRPr="00775CE7" w:rsidRDefault="008A19C5" w:rsidP="008A19C5">
            <w:pPr>
              <w:autoSpaceDE w:val="0"/>
              <w:autoSpaceDN w:val="0"/>
              <w:adjustRightInd w:val="0"/>
              <w:snapToGrid w:val="0"/>
              <w:spacing w:before="60" w:after="0" w:line="240" w:lineRule="auto"/>
              <w:jc w:val="center"/>
              <w:rPr>
                <w:rFonts w:ascii="Times New Roman" w:eastAsia="Times New Roman" w:hAnsi="Times New Roman" w:cs="Times New Roman"/>
                <w:b/>
                <w:sz w:val="20"/>
                <w:szCs w:val="20"/>
                <w:lang w:eastAsia="fr-FR"/>
              </w:rPr>
            </w:pPr>
            <w:r w:rsidRPr="00775CE7">
              <w:rPr>
                <w:rFonts w:ascii="Times New Roman" w:eastAsia="Times New Roman" w:hAnsi="Times New Roman" w:cs="Times New Roman"/>
                <w:b/>
                <w:color w:val="365F91" w:themeColor="accent1" w:themeShade="BF"/>
                <w:sz w:val="20"/>
                <w:szCs w:val="20"/>
                <w:lang w:eastAsia="fr-FR"/>
              </w:rPr>
              <w:t>9.2-12.2</w:t>
            </w:r>
            <w:r w:rsidRPr="00775CE7">
              <w:rPr>
                <w:rFonts w:ascii="Times New Roman" w:eastAsia="Times New Roman" w:hAnsi="Times New Roman" w:cs="Times New Roman"/>
                <w:b/>
                <w:color w:val="365F91" w:themeColor="accent1" w:themeShade="BF"/>
                <w:sz w:val="20"/>
                <w:szCs w:val="20"/>
                <w:lang w:eastAsia="fr-FR"/>
              </w:rPr>
              <w:br/>
            </w:r>
            <w:r w:rsidRPr="00775CE7">
              <w:rPr>
                <w:rFonts w:ascii="Times New Roman" w:eastAsia="Times New Roman" w:hAnsi="Times New Roman" w:cs="Times New Roman"/>
                <w:b/>
                <w:color w:val="943634" w:themeColor="accent2" w:themeShade="BF"/>
                <w:sz w:val="20"/>
                <w:szCs w:val="20"/>
                <w:lang w:eastAsia="fr-FR"/>
              </w:rPr>
              <w:t>9.5-12.6</w:t>
            </w:r>
            <w:r w:rsidRPr="00775CE7">
              <w:rPr>
                <w:rFonts w:ascii="Times New Roman" w:eastAsia="Times New Roman" w:hAnsi="Times New Roman" w:cs="Times New Roman"/>
                <w:b/>
                <w:color w:val="943634" w:themeColor="accent2" w:themeShade="BF"/>
                <w:sz w:val="20"/>
                <w:szCs w:val="20"/>
                <w:lang w:eastAsia="fr-FR"/>
              </w:rPr>
              <w:br/>
            </w:r>
            <w:r w:rsidRPr="00775CE7">
              <w:rPr>
                <w:rFonts w:ascii="Times New Roman" w:eastAsia="Times New Roman" w:hAnsi="Times New Roman" w:cs="Times New Roman"/>
                <w:b/>
                <w:color w:val="948A54" w:themeColor="background2" w:themeShade="80"/>
                <w:sz w:val="20"/>
                <w:szCs w:val="20"/>
                <w:lang w:eastAsia="fr-FR"/>
              </w:rPr>
              <w:t>13.3-16.0</w:t>
            </w:r>
          </w:p>
        </w:tc>
      </w:tr>
      <w:tr w:rsidR="008A19C5" w:rsidRPr="00775CE7" w14:paraId="5228179B" w14:textId="77777777" w:rsidTr="008A19C5">
        <w:trPr>
          <w:trHeight w:val="184"/>
        </w:trPr>
        <w:tc>
          <w:tcPr>
            <w:tcW w:w="1183" w:type="dxa"/>
            <w:tcBorders>
              <w:top w:val="nil"/>
            </w:tcBorders>
            <w:shd w:val="clear" w:color="auto" w:fill="auto"/>
            <w:noWrap/>
            <w:vAlign w:val="center"/>
          </w:tcPr>
          <w:p w14:paraId="0A86F342" w14:textId="77777777" w:rsidR="008A19C5" w:rsidRPr="00775CE7" w:rsidRDefault="008A19C5" w:rsidP="008A19C5">
            <w:pPr>
              <w:autoSpaceDE w:val="0"/>
              <w:autoSpaceDN w:val="0"/>
              <w:adjustRightInd w:val="0"/>
              <w:snapToGrid w:val="0"/>
              <w:spacing w:after="0" w:line="240" w:lineRule="auto"/>
              <w:rPr>
                <w:rFonts w:ascii="Times New Roman" w:eastAsia="Times New Roman" w:hAnsi="Times New Roman" w:cs="Times New Roman"/>
                <w:b/>
                <w:sz w:val="20"/>
                <w:szCs w:val="20"/>
                <w:lang w:eastAsia="fr-FR"/>
              </w:rPr>
            </w:pPr>
          </w:p>
        </w:tc>
        <w:tc>
          <w:tcPr>
            <w:tcW w:w="1185" w:type="dxa"/>
            <w:tcBorders>
              <w:top w:val="nil"/>
            </w:tcBorders>
          </w:tcPr>
          <w:p w14:paraId="762EE3D8" w14:textId="77777777" w:rsidR="008A19C5" w:rsidRPr="00775CE7" w:rsidRDefault="008A19C5" w:rsidP="008A19C5">
            <w:pPr>
              <w:autoSpaceDE w:val="0"/>
              <w:autoSpaceDN w:val="0"/>
              <w:adjustRightInd w:val="0"/>
              <w:snapToGrid w:val="0"/>
              <w:spacing w:after="0" w:line="240" w:lineRule="auto"/>
              <w:jc w:val="center"/>
              <w:rPr>
                <w:rFonts w:ascii="Times New Roman" w:eastAsia="Times New Roman" w:hAnsi="Times New Roman" w:cs="Times New Roman"/>
                <w:b/>
                <w:sz w:val="20"/>
                <w:szCs w:val="20"/>
                <w:lang w:eastAsia="fr-FR"/>
              </w:rPr>
            </w:pPr>
          </w:p>
        </w:tc>
        <w:tc>
          <w:tcPr>
            <w:tcW w:w="1185" w:type="dxa"/>
            <w:tcBorders>
              <w:top w:val="nil"/>
            </w:tcBorders>
          </w:tcPr>
          <w:p w14:paraId="7FE7D07F" w14:textId="77777777" w:rsidR="008A19C5" w:rsidRPr="00775CE7" w:rsidRDefault="008A19C5" w:rsidP="008A19C5">
            <w:pPr>
              <w:autoSpaceDE w:val="0"/>
              <w:autoSpaceDN w:val="0"/>
              <w:adjustRightInd w:val="0"/>
              <w:snapToGrid w:val="0"/>
              <w:spacing w:after="0" w:line="240" w:lineRule="auto"/>
              <w:jc w:val="center"/>
              <w:rPr>
                <w:rFonts w:ascii="Times New Roman" w:eastAsia="Times New Roman" w:hAnsi="Times New Roman" w:cs="Times New Roman"/>
                <w:b/>
                <w:sz w:val="20"/>
                <w:szCs w:val="20"/>
                <w:lang w:eastAsia="fr-FR"/>
              </w:rPr>
            </w:pPr>
          </w:p>
        </w:tc>
        <w:tc>
          <w:tcPr>
            <w:tcW w:w="1185" w:type="dxa"/>
            <w:tcBorders>
              <w:top w:val="nil"/>
            </w:tcBorders>
            <w:shd w:val="clear" w:color="auto" w:fill="auto"/>
            <w:vAlign w:val="center"/>
          </w:tcPr>
          <w:p w14:paraId="7B36A23A" w14:textId="77777777" w:rsidR="008A19C5" w:rsidRPr="00775CE7" w:rsidRDefault="008A19C5" w:rsidP="008A19C5">
            <w:pPr>
              <w:autoSpaceDE w:val="0"/>
              <w:autoSpaceDN w:val="0"/>
              <w:adjustRightInd w:val="0"/>
              <w:snapToGrid w:val="0"/>
              <w:spacing w:after="0" w:line="240" w:lineRule="auto"/>
              <w:jc w:val="center"/>
              <w:rPr>
                <w:rFonts w:ascii="Times New Roman" w:eastAsia="Times New Roman" w:hAnsi="Times New Roman" w:cs="Times New Roman"/>
                <w:b/>
                <w:sz w:val="20"/>
                <w:szCs w:val="20"/>
                <w:lang w:eastAsia="fr-FR"/>
              </w:rPr>
            </w:pPr>
          </w:p>
        </w:tc>
        <w:tc>
          <w:tcPr>
            <w:tcW w:w="1185" w:type="dxa"/>
            <w:tcBorders>
              <w:top w:val="nil"/>
            </w:tcBorders>
            <w:shd w:val="clear" w:color="auto" w:fill="auto"/>
            <w:vAlign w:val="center"/>
          </w:tcPr>
          <w:p w14:paraId="79FA8247" w14:textId="77777777" w:rsidR="008A19C5" w:rsidRPr="00775CE7" w:rsidRDefault="008A19C5" w:rsidP="008A19C5">
            <w:pPr>
              <w:autoSpaceDE w:val="0"/>
              <w:autoSpaceDN w:val="0"/>
              <w:adjustRightInd w:val="0"/>
              <w:snapToGrid w:val="0"/>
              <w:spacing w:after="0" w:line="240" w:lineRule="auto"/>
              <w:jc w:val="center"/>
              <w:rPr>
                <w:rFonts w:ascii="Times New Roman" w:eastAsia="Times New Roman" w:hAnsi="Times New Roman" w:cs="Times New Roman"/>
                <w:b/>
                <w:sz w:val="20"/>
                <w:szCs w:val="20"/>
                <w:lang w:eastAsia="fr-FR"/>
              </w:rPr>
            </w:pPr>
          </w:p>
        </w:tc>
        <w:tc>
          <w:tcPr>
            <w:tcW w:w="1184" w:type="dxa"/>
            <w:tcBorders>
              <w:top w:val="nil"/>
            </w:tcBorders>
            <w:shd w:val="clear" w:color="auto" w:fill="auto"/>
            <w:noWrap/>
            <w:vAlign w:val="center"/>
          </w:tcPr>
          <w:p w14:paraId="1A64DDB3" w14:textId="77777777" w:rsidR="008A19C5" w:rsidRPr="00775CE7" w:rsidRDefault="008A19C5" w:rsidP="008A19C5">
            <w:pPr>
              <w:autoSpaceDE w:val="0"/>
              <w:autoSpaceDN w:val="0"/>
              <w:adjustRightInd w:val="0"/>
              <w:snapToGrid w:val="0"/>
              <w:spacing w:after="0" w:line="240" w:lineRule="auto"/>
              <w:jc w:val="center"/>
              <w:rPr>
                <w:rFonts w:ascii="Times New Roman" w:eastAsia="Times New Roman" w:hAnsi="Times New Roman" w:cs="Times New Roman"/>
                <w:b/>
                <w:sz w:val="20"/>
                <w:szCs w:val="20"/>
                <w:lang w:eastAsia="fr-FR"/>
              </w:rPr>
            </w:pPr>
          </w:p>
        </w:tc>
        <w:tc>
          <w:tcPr>
            <w:tcW w:w="1185" w:type="dxa"/>
            <w:tcBorders>
              <w:top w:val="nil"/>
            </w:tcBorders>
            <w:shd w:val="clear" w:color="auto" w:fill="auto"/>
            <w:vAlign w:val="center"/>
          </w:tcPr>
          <w:p w14:paraId="2A99D1E7" w14:textId="77777777" w:rsidR="008A19C5" w:rsidRPr="00775CE7" w:rsidRDefault="008A19C5" w:rsidP="008A19C5">
            <w:pPr>
              <w:autoSpaceDE w:val="0"/>
              <w:autoSpaceDN w:val="0"/>
              <w:adjustRightInd w:val="0"/>
              <w:snapToGrid w:val="0"/>
              <w:spacing w:after="0" w:line="240" w:lineRule="auto"/>
              <w:jc w:val="center"/>
              <w:rPr>
                <w:rFonts w:ascii="Times New Roman" w:eastAsia="Times New Roman" w:hAnsi="Times New Roman" w:cs="Times New Roman"/>
                <w:b/>
                <w:sz w:val="20"/>
                <w:szCs w:val="20"/>
                <w:lang w:eastAsia="fr-FR"/>
              </w:rPr>
            </w:pPr>
          </w:p>
        </w:tc>
        <w:tc>
          <w:tcPr>
            <w:tcW w:w="1184" w:type="dxa"/>
            <w:tcBorders>
              <w:top w:val="nil"/>
            </w:tcBorders>
            <w:shd w:val="clear" w:color="auto" w:fill="auto"/>
            <w:vAlign w:val="center"/>
          </w:tcPr>
          <w:p w14:paraId="6A165565" w14:textId="77777777" w:rsidR="008A19C5" w:rsidRPr="00775CE7" w:rsidRDefault="008A19C5" w:rsidP="008A19C5">
            <w:pPr>
              <w:autoSpaceDE w:val="0"/>
              <w:autoSpaceDN w:val="0"/>
              <w:adjustRightInd w:val="0"/>
              <w:snapToGrid w:val="0"/>
              <w:spacing w:after="0" w:line="240" w:lineRule="auto"/>
              <w:jc w:val="center"/>
              <w:rPr>
                <w:rFonts w:ascii="Times New Roman" w:eastAsia="Times New Roman" w:hAnsi="Times New Roman" w:cs="Times New Roman"/>
                <w:b/>
                <w:sz w:val="20"/>
                <w:szCs w:val="20"/>
                <w:lang w:eastAsia="fr-FR"/>
              </w:rPr>
            </w:pPr>
          </w:p>
        </w:tc>
        <w:tc>
          <w:tcPr>
            <w:tcW w:w="1185" w:type="dxa"/>
            <w:tcBorders>
              <w:top w:val="nil"/>
            </w:tcBorders>
            <w:shd w:val="clear" w:color="auto" w:fill="auto"/>
            <w:vAlign w:val="center"/>
          </w:tcPr>
          <w:p w14:paraId="75D6F2A8" w14:textId="77777777" w:rsidR="008A19C5" w:rsidRPr="00775CE7" w:rsidRDefault="008A19C5" w:rsidP="008A19C5">
            <w:pPr>
              <w:autoSpaceDE w:val="0"/>
              <w:autoSpaceDN w:val="0"/>
              <w:adjustRightInd w:val="0"/>
              <w:snapToGrid w:val="0"/>
              <w:spacing w:after="0" w:line="240" w:lineRule="auto"/>
              <w:jc w:val="center"/>
              <w:rPr>
                <w:rFonts w:ascii="Times New Roman" w:eastAsia="Times New Roman" w:hAnsi="Times New Roman" w:cs="Times New Roman"/>
                <w:b/>
                <w:sz w:val="20"/>
                <w:szCs w:val="20"/>
                <w:lang w:eastAsia="fr-FR"/>
              </w:rPr>
            </w:pPr>
          </w:p>
        </w:tc>
      </w:tr>
    </w:tbl>
    <w:p w14:paraId="00F1EED6" w14:textId="5C643453" w:rsidR="008A19C5" w:rsidRDefault="008A19C5" w:rsidP="00423070">
      <w:pPr>
        <w:spacing w:after="0"/>
        <w:jc w:val="both"/>
        <w:rPr>
          <w:rFonts w:ascii="Times New Roman" w:hAnsi="Times New Roman" w:cs="Times New Roman"/>
          <w:sz w:val="18"/>
          <w:szCs w:val="18"/>
          <w:lang w:val="en-US"/>
        </w:rPr>
      </w:pPr>
    </w:p>
    <w:p w14:paraId="360EA37D" w14:textId="21139030" w:rsidR="00AA0949" w:rsidRDefault="00AA0949" w:rsidP="00423070">
      <w:pPr>
        <w:spacing w:after="0"/>
        <w:jc w:val="both"/>
        <w:rPr>
          <w:rFonts w:ascii="Times New Roman" w:hAnsi="Times New Roman" w:cs="Times New Roman"/>
          <w:sz w:val="18"/>
          <w:szCs w:val="18"/>
          <w:lang w:val="en-GB"/>
        </w:rPr>
      </w:pPr>
    </w:p>
    <w:p w14:paraId="376FF8F4" w14:textId="54AC876B" w:rsidR="00AA0949" w:rsidRPr="00483285" w:rsidRDefault="00AA0949" w:rsidP="00423070">
      <w:pPr>
        <w:spacing w:after="0"/>
        <w:jc w:val="both"/>
        <w:rPr>
          <w:rFonts w:ascii="Times New Roman" w:hAnsi="Times New Roman" w:cs="Times New Roman"/>
          <w:sz w:val="18"/>
          <w:szCs w:val="18"/>
          <w:lang w:val="en-GB"/>
        </w:rPr>
      </w:pPr>
    </w:p>
    <w:p w14:paraId="655A8987" w14:textId="77777777" w:rsidR="00C253AF" w:rsidRPr="00AA0949" w:rsidRDefault="00C253AF" w:rsidP="00AE38EA">
      <w:pPr>
        <w:rPr>
          <w:rFonts w:ascii="Times New Roman" w:eastAsia="Calibri" w:hAnsi="Times New Roman" w:cs="Times New Roman"/>
          <w:bCs/>
          <w:sz w:val="20"/>
          <w:szCs w:val="20"/>
          <w:lang w:val="en-GB"/>
        </w:rPr>
        <w:sectPr w:rsidR="00C253AF" w:rsidRPr="00AA0949" w:rsidSect="00423070">
          <w:pgSz w:w="11907" w:h="16840" w:code="9"/>
          <w:pgMar w:top="851" w:right="851" w:bottom="851" w:left="851" w:header="709" w:footer="709" w:gutter="0"/>
          <w:cols w:space="708"/>
          <w:docGrid w:linePitch="360"/>
        </w:sectPr>
      </w:pPr>
    </w:p>
    <w:p w14:paraId="4CBC525A" w14:textId="66AF2BA0" w:rsidR="00616D32" w:rsidRPr="00483285" w:rsidRDefault="00815D71" w:rsidP="00616D32">
      <w:pPr>
        <w:spacing w:after="0"/>
        <w:rPr>
          <w:rFonts w:ascii="Times New Roman" w:hAnsi="Times New Roman" w:cs="Times New Roman"/>
          <w:b/>
          <w:sz w:val="20"/>
          <w:szCs w:val="20"/>
          <w:lang w:val="en-US"/>
        </w:rPr>
      </w:pPr>
      <w:r w:rsidRPr="00815D71">
        <w:rPr>
          <w:noProof/>
          <w:lang w:eastAsia="fr-FR"/>
        </w:rPr>
        <w:lastRenderedPageBreak/>
        <w:drawing>
          <wp:inline distT="0" distB="0" distL="0" distR="0" wp14:anchorId="336F12C4" wp14:editId="70A6781C">
            <wp:extent cx="8095226" cy="5371200"/>
            <wp:effectExtent l="0" t="0" r="1270" b="127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8125906" cy="5391556"/>
                    </a:xfrm>
                    <a:prstGeom prst="rect">
                      <a:avLst/>
                    </a:prstGeom>
                    <a:noFill/>
                    <a:ln>
                      <a:noFill/>
                    </a:ln>
                  </pic:spPr>
                </pic:pic>
              </a:graphicData>
            </a:graphic>
          </wp:inline>
        </w:drawing>
      </w:r>
    </w:p>
    <w:p w14:paraId="1C54FF63" w14:textId="58186E47" w:rsidR="00BA5F87" w:rsidRPr="00483285" w:rsidRDefault="00BA5F87" w:rsidP="00331BC5">
      <w:pPr>
        <w:spacing w:after="0"/>
        <w:jc w:val="both"/>
        <w:rPr>
          <w:rFonts w:ascii="Times New Roman" w:eastAsia="Calibri" w:hAnsi="Times New Roman" w:cs="Times New Roman"/>
          <w:sz w:val="18"/>
          <w:szCs w:val="18"/>
          <w:lang w:val="en-US"/>
        </w:rPr>
      </w:pPr>
      <w:r w:rsidRPr="00483285">
        <w:rPr>
          <w:rFonts w:ascii="Times New Roman" w:hAnsi="Times New Roman" w:cs="Times New Roman"/>
          <w:b/>
          <w:sz w:val="18"/>
          <w:szCs w:val="18"/>
          <w:lang w:val="en-US"/>
        </w:rPr>
        <w:t>Figure S</w:t>
      </w:r>
      <w:r w:rsidR="0010438C">
        <w:rPr>
          <w:rFonts w:ascii="Times New Roman" w:hAnsi="Times New Roman" w:cs="Times New Roman"/>
          <w:b/>
          <w:sz w:val="18"/>
          <w:szCs w:val="18"/>
          <w:lang w:val="en-US"/>
        </w:rPr>
        <w:t>10</w:t>
      </w:r>
      <w:r w:rsidR="00D106CB" w:rsidRPr="00483285">
        <w:rPr>
          <w:rFonts w:ascii="Times New Roman" w:hAnsi="Times New Roman" w:cs="Times New Roman"/>
          <w:b/>
          <w:sz w:val="18"/>
          <w:szCs w:val="18"/>
          <w:lang w:val="en-US"/>
        </w:rPr>
        <w:t>.</w:t>
      </w:r>
      <w:r w:rsidRPr="00483285">
        <w:rPr>
          <w:rFonts w:ascii="Times New Roman" w:hAnsi="Times New Roman" w:cs="Times New Roman"/>
          <w:sz w:val="18"/>
          <w:szCs w:val="18"/>
          <w:lang w:val="en-US"/>
        </w:rPr>
        <w:t xml:space="preserve"> </w:t>
      </w:r>
      <w:r w:rsidR="00D279DB" w:rsidRPr="00483285">
        <w:rPr>
          <w:rFonts w:ascii="Times New Roman" w:hAnsi="Times New Roman" w:cs="Times New Roman"/>
          <w:sz w:val="18"/>
          <w:szCs w:val="18"/>
          <w:lang w:val="en-US"/>
        </w:rPr>
        <w:t>E</w:t>
      </w:r>
      <w:r w:rsidR="00CA4039" w:rsidRPr="00483285">
        <w:rPr>
          <w:rFonts w:ascii="Times New Roman" w:hAnsi="Times New Roman" w:cs="Times New Roman"/>
          <w:sz w:val="18"/>
          <w:szCs w:val="18"/>
          <w:lang w:val="en-US"/>
        </w:rPr>
        <w:t xml:space="preserve">xample </w:t>
      </w:r>
      <w:r w:rsidRPr="00483285">
        <w:rPr>
          <w:rFonts w:ascii="Times New Roman" w:hAnsi="Times New Roman" w:cs="Times New Roman"/>
          <w:sz w:val="18"/>
          <w:szCs w:val="18"/>
          <w:lang w:val="en-US"/>
        </w:rPr>
        <w:t xml:space="preserve">of </w:t>
      </w:r>
      <w:r w:rsidR="00D279DB" w:rsidRPr="00483285">
        <w:rPr>
          <w:rFonts w:ascii="Times New Roman" w:hAnsi="Times New Roman" w:cs="Times New Roman"/>
          <w:sz w:val="18"/>
          <w:szCs w:val="18"/>
          <w:lang w:val="en-US"/>
        </w:rPr>
        <w:t xml:space="preserve">simulations to assess the </w:t>
      </w:r>
      <w:r w:rsidRPr="00483285">
        <w:rPr>
          <w:rFonts w:ascii="Times New Roman" w:hAnsi="Times New Roman" w:cs="Times New Roman"/>
          <w:sz w:val="18"/>
          <w:szCs w:val="18"/>
          <w:lang w:val="en-US"/>
        </w:rPr>
        <w:t xml:space="preserve">potential </w:t>
      </w:r>
      <w:r w:rsidR="001B547E" w:rsidRPr="00483285">
        <w:rPr>
          <w:rFonts w:ascii="Times New Roman" w:hAnsi="Times New Roman" w:cs="Times New Roman"/>
          <w:sz w:val="18"/>
          <w:szCs w:val="18"/>
          <w:lang w:val="en-US"/>
        </w:rPr>
        <w:t>effect</w:t>
      </w:r>
      <w:r w:rsidR="00A22595" w:rsidRPr="00483285">
        <w:rPr>
          <w:rFonts w:ascii="Times New Roman" w:hAnsi="Times New Roman" w:cs="Times New Roman"/>
          <w:sz w:val="18"/>
          <w:szCs w:val="18"/>
          <w:lang w:val="en-US"/>
        </w:rPr>
        <w:t>s</w:t>
      </w:r>
      <w:r w:rsidRPr="00483285">
        <w:rPr>
          <w:rFonts w:ascii="Times New Roman" w:hAnsi="Times New Roman" w:cs="Times New Roman"/>
          <w:sz w:val="18"/>
          <w:szCs w:val="18"/>
          <w:lang w:val="en-US"/>
        </w:rPr>
        <w:t xml:space="preserve"> of high-CO</w:t>
      </w:r>
      <w:r w:rsidRPr="00953CCF">
        <w:rPr>
          <w:rFonts w:ascii="Times New Roman" w:hAnsi="Times New Roman" w:cs="Times New Roman"/>
          <w:sz w:val="18"/>
          <w:szCs w:val="18"/>
          <w:vertAlign w:val="subscript"/>
          <w:lang w:val="en-US"/>
        </w:rPr>
        <w:t>2</w:t>
      </w:r>
      <w:r w:rsidRPr="00483285">
        <w:rPr>
          <w:rFonts w:ascii="Times New Roman" w:hAnsi="Times New Roman" w:cs="Times New Roman"/>
          <w:sz w:val="18"/>
          <w:szCs w:val="18"/>
          <w:lang w:val="en-US"/>
        </w:rPr>
        <w:t>-</w:t>
      </w:r>
      <w:r w:rsidR="001B547E" w:rsidRPr="00483285">
        <w:rPr>
          <w:rFonts w:ascii="Times New Roman" w:hAnsi="Times New Roman" w:cs="Times New Roman"/>
          <w:sz w:val="18"/>
          <w:szCs w:val="18"/>
          <w:lang w:val="en-US"/>
        </w:rPr>
        <w:t>inhibition</w:t>
      </w:r>
      <w:r w:rsidRPr="00483285">
        <w:rPr>
          <w:rFonts w:ascii="Times New Roman" w:hAnsi="Times New Roman" w:cs="Times New Roman"/>
          <w:sz w:val="18"/>
          <w:szCs w:val="18"/>
          <w:lang w:val="en-US"/>
        </w:rPr>
        <w:t xml:space="preserve"> </w:t>
      </w:r>
      <w:r w:rsidR="000B70B3" w:rsidRPr="00483285">
        <w:rPr>
          <w:rFonts w:ascii="Times New Roman" w:hAnsi="Times New Roman" w:cs="Times New Roman"/>
          <w:sz w:val="18"/>
          <w:szCs w:val="18"/>
          <w:lang w:val="en-US"/>
        </w:rPr>
        <w:t xml:space="preserve">on annual (a) and diel (b-g) emission courses </w:t>
      </w:r>
      <w:r w:rsidRPr="00483285">
        <w:rPr>
          <w:rFonts w:ascii="Times New Roman" w:hAnsi="Times New Roman" w:cs="Times New Roman"/>
          <w:sz w:val="18"/>
          <w:szCs w:val="18"/>
          <w:lang w:val="en-US"/>
        </w:rPr>
        <w:t>from Q</w:t>
      </w:r>
      <w:r w:rsidR="00A80885" w:rsidRPr="00483285">
        <w:rPr>
          <w:rFonts w:ascii="Times New Roman" w:hAnsi="Times New Roman" w:cs="Times New Roman"/>
          <w:sz w:val="18"/>
          <w:szCs w:val="18"/>
          <w:lang w:val="en-US"/>
        </w:rPr>
        <w:t>I</w:t>
      </w:r>
      <w:r w:rsidRPr="00483285">
        <w:rPr>
          <w:rFonts w:ascii="Times New Roman" w:hAnsi="Times New Roman" w:cs="Times New Roman"/>
          <w:sz w:val="18"/>
          <w:szCs w:val="18"/>
          <w:lang w:val="en-US"/>
        </w:rPr>
        <w:t xml:space="preserve"> leaves under a future </w:t>
      </w:r>
      <w:r w:rsidR="00CB6DA9" w:rsidRPr="00483285">
        <w:rPr>
          <w:rFonts w:ascii="Times New Roman" w:hAnsi="Times New Roman" w:cs="Times New Roman"/>
          <w:sz w:val="18"/>
          <w:szCs w:val="18"/>
          <w:lang w:val="en-US"/>
        </w:rPr>
        <w:t xml:space="preserve">warmer </w:t>
      </w:r>
      <w:r w:rsidRPr="00483285">
        <w:rPr>
          <w:rFonts w:ascii="Times New Roman" w:hAnsi="Times New Roman" w:cs="Times New Roman"/>
          <w:sz w:val="18"/>
          <w:szCs w:val="18"/>
          <w:lang w:val="en-US"/>
        </w:rPr>
        <w:t xml:space="preserve">climate with 800 </w:t>
      </w:r>
      <w:r w:rsidR="00A43D90" w:rsidRPr="00483285">
        <w:rPr>
          <w:rFonts w:ascii="Times New Roman" w:hAnsi="Times New Roman" w:cs="Times New Roman"/>
          <w:sz w:val="18"/>
          <w:szCs w:val="18"/>
          <w:lang w:val="en-US"/>
        </w:rPr>
        <w:t>ppm [</w:t>
      </w:r>
      <w:r w:rsidRPr="00483285">
        <w:rPr>
          <w:rFonts w:ascii="Times New Roman" w:hAnsi="Times New Roman" w:cs="Times New Roman"/>
          <w:sz w:val="18"/>
          <w:szCs w:val="18"/>
          <w:lang w:val="en-US"/>
        </w:rPr>
        <w:t>C</w:t>
      </w:r>
      <w:r w:rsidR="00A43D90" w:rsidRPr="00483285">
        <w:rPr>
          <w:rFonts w:ascii="Times New Roman" w:hAnsi="Times New Roman" w:cs="Times New Roman"/>
          <w:sz w:val="18"/>
          <w:szCs w:val="18"/>
          <w:lang w:val="en-US"/>
        </w:rPr>
        <w:t>O</w:t>
      </w:r>
      <w:r w:rsidRPr="00357532">
        <w:rPr>
          <w:rFonts w:ascii="Times New Roman" w:hAnsi="Times New Roman" w:cs="Times New Roman"/>
          <w:sz w:val="18"/>
          <w:szCs w:val="18"/>
          <w:vertAlign w:val="subscript"/>
          <w:lang w:val="en-US"/>
        </w:rPr>
        <w:t>2</w:t>
      </w:r>
      <w:r w:rsidR="00A43D90" w:rsidRPr="00483285">
        <w:rPr>
          <w:rFonts w:ascii="Times New Roman" w:hAnsi="Times New Roman" w:cs="Times New Roman"/>
          <w:sz w:val="18"/>
          <w:szCs w:val="18"/>
          <w:lang w:val="en-US"/>
        </w:rPr>
        <w:t>]</w:t>
      </w:r>
      <w:r w:rsidR="00CB6DA9" w:rsidRPr="00483285">
        <w:rPr>
          <w:rFonts w:ascii="Times New Roman" w:hAnsi="Times New Roman" w:cs="Times New Roman"/>
          <w:sz w:val="18"/>
          <w:szCs w:val="18"/>
          <w:lang w:val="en-US"/>
        </w:rPr>
        <w:t xml:space="preserve">. In this example we combined </w:t>
      </w:r>
      <w:r w:rsidRPr="00483285">
        <w:rPr>
          <w:rFonts w:ascii="Times New Roman" w:hAnsi="Times New Roman" w:cs="Times New Roman"/>
          <w:sz w:val="18"/>
          <w:szCs w:val="18"/>
          <w:lang w:val="en-US"/>
        </w:rPr>
        <w:t>a temperature increase of 3°C</w:t>
      </w:r>
      <w:r w:rsidR="00CB6DA9" w:rsidRPr="00483285">
        <w:rPr>
          <w:rFonts w:ascii="Times New Roman" w:hAnsi="Times New Roman" w:cs="Times New Roman"/>
          <w:sz w:val="18"/>
          <w:szCs w:val="18"/>
          <w:lang w:val="en-US"/>
        </w:rPr>
        <w:t xml:space="preserve"> with </w:t>
      </w:r>
      <w:r w:rsidR="00E7180F">
        <w:rPr>
          <w:rFonts w:ascii="Times New Roman" w:hAnsi="Times New Roman" w:cs="Times New Roman"/>
          <w:sz w:val="18"/>
          <w:szCs w:val="18"/>
          <w:lang w:val="en-US"/>
        </w:rPr>
        <w:t>a</w:t>
      </w:r>
      <w:r w:rsidR="00331BC5">
        <w:rPr>
          <w:rFonts w:ascii="Times New Roman" w:hAnsi="Times New Roman" w:cs="Times New Roman"/>
          <w:sz w:val="18"/>
          <w:szCs w:val="18"/>
          <w:lang w:val="en-US"/>
        </w:rPr>
        <w:t>n EF</w:t>
      </w:r>
      <w:r w:rsidR="00E7180F" w:rsidRPr="00483285">
        <w:rPr>
          <w:rFonts w:ascii="Times New Roman" w:hAnsi="Times New Roman" w:cs="Times New Roman"/>
          <w:sz w:val="18"/>
          <w:szCs w:val="18"/>
          <w:lang w:val="en-US"/>
        </w:rPr>
        <w:t xml:space="preserve"> seasonal</w:t>
      </w:r>
      <w:r w:rsidR="00331BC5">
        <w:rPr>
          <w:rFonts w:ascii="Times New Roman" w:hAnsi="Times New Roman" w:cs="Times New Roman"/>
          <w:sz w:val="18"/>
          <w:szCs w:val="18"/>
          <w:lang w:val="en-US"/>
        </w:rPr>
        <w:t>ity</w:t>
      </w:r>
      <w:r w:rsidR="00E7180F" w:rsidRPr="00483285">
        <w:rPr>
          <w:rFonts w:ascii="Times New Roman" w:hAnsi="Times New Roman" w:cs="Times New Roman"/>
          <w:sz w:val="18"/>
          <w:szCs w:val="18"/>
          <w:lang w:val="en-US"/>
        </w:rPr>
        <w:t xml:space="preserve"> </w:t>
      </w:r>
      <w:r w:rsidR="00E7180F">
        <w:rPr>
          <w:rFonts w:ascii="Times New Roman" w:hAnsi="Times New Roman" w:cs="Times New Roman"/>
          <w:sz w:val="18"/>
          <w:szCs w:val="18"/>
          <w:lang w:val="en-US"/>
        </w:rPr>
        <w:t xml:space="preserve">without </w:t>
      </w:r>
      <w:r w:rsidR="00E7180F" w:rsidRPr="00483285">
        <w:rPr>
          <w:rFonts w:ascii="Times New Roman" w:hAnsi="Times New Roman" w:cs="Times New Roman"/>
          <w:sz w:val="18"/>
          <w:szCs w:val="18"/>
          <w:lang w:val="en-US"/>
        </w:rPr>
        <w:t xml:space="preserve">water stress </w:t>
      </w:r>
      <w:r w:rsidR="00E7180F">
        <w:rPr>
          <w:rFonts w:ascii="Times New Roman" w:hAnsi="Times New Roman" w:cs="Times New Roman"/>
          <w:sz w:val="18"/>
          <w:szCs w:val="18"/>
          <w:lang w:val="en-US"/>
        </w:rPr>
        <w:t xml:space="preserve">(dark </w:t>
      </w:r>
      <w:r w:rsidR="00E7180F" w:rsidRPr="00483285">
        <w:rPr>
          <w:rFonts w:ascii="Times New Roman" w:hAnsi="Times New Roman" w:cs="Times New Roman"/>
          <w:sz w:val="18"/>
          <w:szCs w:val="18"/>
          <w:lang w:val="en-US"/>
        </w:rPr>
        <w:t>blue line</w:t>
      </w:r>
      <w:r w:rsidR="00E7180F">
        <w:rPr>
          <w:rFonts w:ascii="Times New Roman" w:hAnsi="Times New Roman" w:cs="Times New Roman"/>
          <w:sz w:val="18"/>
          <w:szCs w:val="18"/>
          <w:lang w:val="en-US"/>
        </w:rPr>
        <w:t xml:space="preserve"> </w:t>
      </w:r>
      <w:r w:rsidR="00331BC5">
        <w:rPr>
          <w:rFonts w:ascii="Times New Roman" w:hAnsi="Times New Roman" w:cs="Times New Roman"/>
          <w:sz w:val="18"/>
          <w:szCs w:val="18"/>
          <w:lang w:val="en-US"/>
        </w:rPr>
        <w:t>i</w:t>
      </w:r>
      <w:r w:rsidR="00E7180F">
        <w:rPr>
          <w:rFonts w:ascii="Times New Roman" w:hAnsi="Times New Roman" w:cs="Times New Roman"/>
          <w:sz w:val="18"/>
          <w:szCs w:val="18"/>
          <w:lang w:val="en-US"/>
        </w:rPr>
        <w:t xml:space="preserve">n Fig. S9 above) and </w:t>
      </w:r>
      <w:r w:rsidR="00CB6DA9" w:rsidRPr="00483285">
        <w:rPr>
          <w:rFonts w:ascii="Times New Roman" w:hAnsi="Times New Roman" w:cs="Times New Roman"/>
          <w:sz w:val="18"/>
          <w:szCs w:val="18"/>
          <w:lang w:val="en-US"/>
        </w:rPr>
        <w:t>maximum CO</w:t>
      </w:r>
      <w:r w:rsidR="00CB6DA9" w:rsidRPr="00953CCF">
        <w:rPr>
          <w:rFonts w:ascii="Times New Roman" w:hAnsi="Times New Roman" w:cs="Times New Roman"/>
          <w:sz w:val="18"/>
          <w:szCs w:val="18"/>
          <w:vertAlign w:val="subscript"/>
          <w:lang w:val="en-US"/>
        </w:rPr>
        <w:t>2</w:t>
      </w:r>
      <w:r w:rsidR="00735B2B" w:rsidRPr="00483285">
        <w:rPr>
          <w:rFonts w:ascii="Times New Roman" w:hAnsi="Times New Roman" w:cs="Times New Roman"/>
          <w:sz w:val="18"/>
          <w:szCs w:val="18"/>
          <w:lang w:val="en-US"/>
        </w:rPr>
        <w:t>-</w:t>
      </w:r>
      <w:r w:rsidR="00CB6DA9" w:rsidRPr="00483285">
        <w:rPr>
          <w:rFonts w:ascii="Times New Roman" w:hAnsi="Times New Roman" w:cs="Times New Roman"/>
          <w:sz w:val="18"/>
          <w:szCs w:val="18"/>
          <w:lang w:val="en-US"/>
        </w:rPr>
        <w:t>inhibition of 25</w:t>
      </w:r>
      <w:r w:rsidR="003F0C7E">
        <w:rPr>
          <w:rFonts w:ascii="Times New Roman" w:hAnsi="Times New Roman" w:cs="Times New Roman"/>
          <w:sz w:val="18"/>
          <w:szCs w:val="18"/>
          <w:lang w:val="en-US"/>
        </w:rPr>
        <w:t xml:space="preserve"> </w:t>
      </w:r>
      <w:r w:rsidR="00CB6DA9" w:rsidRPr="00483285">
        <w:rPr>
          <w:rFonts w:ascii="Times New Roman" w:hAnsi="Times New Roman" w:cs="Times New Roman"/>
          <w:sz w:val="18"/>
          <w:szCs w:val="18"/>
          <w:lang w:val="en-US"/>
        </w:rPr>
        <w:t>% at temperatures ≤ 22.5</w:t>
      </w:r>
      <w:r w:rsidR="003F0C7E">
        <w:rPr>
          <w:rFonts w:ascii="Times New Roman" w:hAnsi="Times New Roman" w:cs="Times New Roman"/>
          <w:sz w:val="18"/>
          <w:szCs w:val="18"/>
          <w:lang w:val="en-US"/>
        </w:rPr>
        <w:t xml:space="preserve"> </w:t>
      </w:r>
      <w:r w:rsidR="00CB6DA9" w:rsidRPr="00483285">
        <w:rPr>
          <w:rFonts w:ascii="Times New Roman" w:hAnsi="Times New Roman" w:cs="Times New Roman"/>
          <w:sz w:val="18"/>
          <w:szCs w:val="18"/>
          <w:lang w:val="en-US"/>
        </w:rPr>
        <w:t>°C</w:t>
      </w:r>
      <w:r w:rsidR="00815D71">
        <w:rPr>
          <w:rFonts w:ascii="Times New Roman" w:hAnsi="Times New Roman" w:cs="Times New Roman"/>
          <w:sz w:val="18"/>
          <w:szCs w:val="18"/>
          <w:lang w:val="en-US"/>
        </w:rPr>
        <w:t>.</w:t>
      </w:r>
      <w:r w:rsidRPr="00483285">
        <w:rPr>
          <w:rFonts w:ascii="Times New Roman" w:hAnsi="Times New Roman" w:cs="Times New Roman"/>
          <w:sz w:val="18"/>
          <w:szCs w:val="18"/>
          <w:lang w:val="en-US"/>
        </w:rPr>
        <w:t xml:space="preserve"> </w:t>
      </w:r>
      <w:r w:rsidR="00AD7D4C" w:rsidRPr="00483285">
        <w:rPr>
          <w:rFonts w:ascii="Times New Roman" w:hAnsi="Times New Roman" w:cs="Times New Roman"/>
          <w:sz w:val="18"/>
          <w:szCs w:val="18"/>
          <w:lang w:val="en-US"/>
        </w:rPr>
        <w:t>Th</w:t>
      </w:r>
      <w:r w:rsidR="00416203" w:rsidRPr="00483285">
        <w:rPr>
          <w:rFonts w:ascii="Times New Roman" w:hAnsi="Times New Roman" w:cs="Times New Roman"/>
          <w:sz w:val="18"/>
          <w:szCs w:val="18"/>
          <w:lang w:val="en-US"/>
        </w:rPr>
        <w:t>e</w:t>
      </w:r>
      <w:r w:rsidR="00AD7D4C" w:rsidRPr="00483285">
        <w:rPr>
          <w:rFonts w:ascii="Times New Roman" w:hAnsi="Times New Roman" w:cs="Times New Roman"/>
          <w:sz w:val="18"/>
          <w:szCs w:val="18"/>
          <w:lang w:val="en-US"/>
        </w:rPr>
        <w:t xml:space="preserve"> simulation </w:t>
      </w:r>
      <w:r w:rsidR="00416203" w:rsidRPr="00483285">
        <w:rPr>
          <w:rFonts w:ascii="Times New Roman" w:hAnsi="Times New Roman" w:cs="Times New Roman"/>
          <w:sz w:val="18"/>
          <w:szCs w:val="18"/>
          <w:lang w:val="en-US"/>
        </w:rPr>
        <w:t>uses</w:t>
      </w:r>
      <w:r w:rsidR="00AD7D4C" w:rsidRPr="00483285">
        <w:rPr>
          <w:rFonts w:ascii="Times New Roman" w:hAnsi="Times New Roman" w:cs="Times New Roman"/>
          <w:sz w:val="18"/>
          <w:szCs w:val="18"/>
          <w:lang w:val="en-US"/>
        </w:rPr>
        <w:t xml:space="preserve"> the temperature and PPFD data recorded in a Holm oak forest (see </w:t>
      </w:r>
      <w:hyperlink r:id="rId18" w:history="1">
        <w:r w:rsidR="007B65D0" w:rsidRPr="00483285">
          <w:rPr>
            <w:rStyle w:val="Lienhypertexte"/>
            <w:rFonts w:ascii="Times New Roman" w:hAnsi="Times New Roman" w:cs="Times New Roman"/>
            <w:sz w:val="18"/>
            <w:szCs w:val="18"/>
            <w:lang w:val="en-US"/>
          </w:rPr>
          <w:t>https://puechabon.cefe.cnrs.fr/</w:t>
        </w:r>
      </w:hyperlink>
      <w:r w:rsidR="00AD7D4C" w:rsidRPr="00483285">
        <w:rPr>
          <w:rFonts w:ascii="Times New Roman" w:hAnsi="Times New Roman" w:cs="Times New Roman"/>
          <w:sz w:val="18"/>
          <w:szCs w:val="18"/>
          <w:lang w:val="en-US"/>
        </w:rPr>
        <w:t xml:space="preserve">) for the years 2019 to 2021, </w:t>
      </w:r>
      <w:r w:rsidR="0045622B" w:rsidRPr="00483285">
        <w:rPr>
          <w:rFonts w:ascii="Times New Roman" w:hAnsi="Times New Roman" w:cs="Times New Roman"/>
          <w:sz w:val="18"/>
          <w:szCs w:val="18"/>
          <w:lang w:val="en-US"/>
        </w:rPr>
        <w:t xml:space="preserve">Figure </w:t>
      </w:r>
      <w:r w:rsidR="00416203" w:rsidRPr="00483285">
        <w:rPr>
          <w:rFonts w:ascii="Times New Roman" w:hAnsi="Times New Roman" w:cs="Times New Roman"/>
          <w:sz w:val="18"/>
          <w:szCs w:val="18"/>
          <w:lang w:val="en-US"/>
        </w:rPr>
        <w:t>(</w:t>
      </w:r>
      <w:r w:rsidR="00D279DB" w:rsidRPr="00483285">
        <w:rPr>
          <w:rFonts w:ascii="Times New Roman" w:hAnsi="Times New Roman" w:cs="Times New Roman"/>
          <w:sz w:val="18"/>
          <w:szCs w:val="18"/>
          <w:lang w:val="en-US"/>
        </w:rPr>
        <w:t>a</w:t>
      </w:r>
      <w:r w:rsidR="0045622B" w:rsidRPr="00483285">
        <w:rPr>
          <w:rFonts w:ascii="Times New Roman" w:hAnsi="Times New Roman" w:cs="Times New Roman"/>
          <w:sz w:val="18"/>
          <w:szCs w:val="18"/>
          <w:lang w:val="en-US"/>
        </w:rPr>
        <w:t>) shows the variation of the daily emission</w:t>
      </w:r>
      <w:r w:rsidR="00416203" w:rsidRPr="00483285">
        <w:rPr>
          <w:rFonts w:ascii="Times New Roman" w:hAnsi="Times New Roman" w:cs="Times New Roman"/>
          <w:sz w:val="18"/>
          <w:szCs w:val="18"/>
          <w:lang w:val="en-US"/>
        </w:rPr>
        <w:t xml:space="preserve">s </w:t>
      </w:r>
      <w:r w:rsidR="0045622B" w:rsidRPr="00483285">
        <w:rPr>
          <w:rFonts w:ascii="Times New Roman" w:hAnsi="Times New Roman" w:cs="Times New Roman"/>
          <w:sz w:val="18"/>
          <w:szCs w:val="18"/>
          <w:lang w:val="en-US"/>
        </w:rPr>
        <w:t>over the</w:t>
      </w:r>
      <w:r w:rsidR="00470EEA">
        <w:rPr>
          <w:rFonts w:ascii="Times New Roman" w:hAnsi="Times New Roman" w:cs="Times New Roman"/>
          <w:sz w:val="18"/>
          <w:szCs w:val="18"/>
          <w:lang w:val="en-US"/>
        </w:rPr>
        <w:t>se</w:t>
      </w:r>
      <w:r w:rsidR="0045622B" w:rsidRPr="00483285">
        <w:rPr>
          <w:rFonts w:ascii="Times New Roman" w:hAnsi="Times New Roman" w:cs="Times New Roman"/>
          <w:sz w:val="18"/>
          <w:szCs w:val="18"/>
          <w:lang w:val="en-US"/>
        </w:rPr>
        <w:t xml:space="preserve"> years based on three simulations: current climate (</w:t>
      </w:r>
      <w:r w:rsidR="00416203" w:rsidRPr="00483285">
        <w:rPr>
          <w:rFonts w:ascii="Times New Roman" w:hAnsi="Times New Roman" w:cs="Times New Roman"/>
          <w:sz w:val="18"/>
          <w:szCs w:val="18"/>
          <w:lang w:val="en-US"/>
        </w:rPr>
        <w:t xml:space="preserve">light </w:t>
      </w:r>
      <w:r w:rsidR="0045622B" w:rsidRPr="00483285">
        <w:rPr>
          <w:rFonts w:ascii="Times New Roman" w:hAnsi="Times New Roman" w:cs="Times New Roman"/>
          <w:sz w:val="18"/>
          <w:szCs w:val="18"/>
          <w:lang w:val="en-US"/>
        </w:rPr>
        <w:t>blue), 3°C warmer climate without CO</w:t>
      </w:r>
      <w:r w:rsidR="0045622B" w:rsidRPr="00357532">
        <w:rPr>
          <w:rFonts w:ascii="Times New Roman" w:hAnsi="Times New Roman" w:cs="Times New Roman"/>
          <w:sz w:val="18"/>
          <w:szCs w:val="18"/>
          <w:vertAlign w:val="subscript"/>
          <w:lang w:val="en-US"/>
        </w:rPr>
        <w:t>2</w:t>
      </w:r>
      <w:r w:rsidR="0045622B" w:rsidRPr="00483285">
        <w:rPr>
          <w:rFonts w:ascii="Times New Roman" w:hAnsi="Times New Roman" w:cs="Times New Roman"/>
          <w:sz w:val="18"/>
          <w:szCs w:val="18"/>
          <w:lang w:val="en-US"/>
        </w:rPr>
        <w:t>-inhibition of emissions (green), and 3</w:t>
      </w:r>
      <w:r w:rsidR="003F0C7E">
        <w:rPr>
          <w:rFonts w:ascii="Times New Roman" w:hAnsi="Times New Roman" w:cs="Times New Roman"/>
          <w:sz w:val="18"/>
          <w:szCs w:val="18"/>
          <w:lang w:val="en-US"/>
        </w:rPr>
        <w:t xml:space="preserve"> </w:t>
      </w:r>
      <w:r w:rsidR="0045622B" w:rsidRPr="00483285">
        <w:rPr>
          <w:rFonts w:ascii="Times New Roman" w:hAnsi="Times New Roman" w:cs="Times New Roman"/>
          <w:sz w:val="18"/>
          <w:szCs w:val="18"/>
          <w:lang w:val="en-US"/>
        </w:rPr>
        <w:t>°C warmer climate with CO</w:t>
      </w:r>
      <w:r w:rsidR="0045622B" w:rsidRPr="00953CCF">
        <w:rPr>
          <w:rFonts w:ascii="Times New Roman" w:hAnsi="Times New Roman" w:cs="Times New Roman"/>
          <w:sz w:val="18"/>
          <w:szCs w:val="18"/>
          <w:vertAlign w:val="subscript"/>
          <w:lang w:val="en-US"/>
        </w:rPr>
        <w:t>2</w:t>
      </w:r>
      <w:r w:rsidR="0045622B" w:rsidRPr="00483285">
        <w:rPr>
          <w:rFonts w:ascii="Times New Roman" w:hAnsi="Times New Roman" w:cs="Times New Roman"/>
          <w:sz w:val="18"/>
          <w:szCs w:val="18"/>
          <w:lang w:val="en-US"/>
        </w:rPr>
        <w:t>-inhibition of emissions (p</w:t>
      </w:r>
      <w:r w:rsidR="00416203" w:rsidRPr="00483285">
        <w:rPr>
          <w:rFonts w:ascii="Times New Roman" w:hAnsi="Times New Roman" w:cs="Times New Roman"/>
          <w:sz w:val="18"/>
          <w:szCs w:val="18"/>
          <w:lang w:val="en-US"/>
        </w:rPr>
        <w:t>urple</w:t>
      </w:r>
      <w:r w:rsidR="0045622B" w:rsidRPr="00483285">
        <w:rPr>
          <w:rFonts w:ascii="Times New Roman" w:hAnsi="Times New Roman" w:cs="Times New Roman"/>
          <w:sz w:val="18"/>
          <w:szCs w:val="18"/>
          <w:lang w:val="en-US"/>
        </w:rPr>
        <w:t xml:space="preserve">). Figures </w:t>
      </w:r>
      <w:r w:rsidR="00416203" w:rsidRPr="00483285">
        <w:rPr>
          <w:rFonts w:ascii="Times New Roman" w:hAnsi="Times New Roman" w:cs="Times New Roman"/>
          <w:sz w:val="18"/>
          <w:szCs w:val="18"/>
          <w:lang w:val="en-US"/>
        </w:rPr>
        <w:t>(e)</w:t>
      </w:r>
      <w:r w:rsidR="00CB6DA9" w:rsidRPr="00483285">
        <w:rPr>
          <w:rFonts w:ascii="Times New Roman" w:hAnsi="Times New Roman" w:cs="Times New Roman"/>
          <w:sz w:val="18"/>
          <w:szCs w:val="18"/>
          <w:lang w:val="en-US"/>
        </w:rPr>
        <w:t>-</w:t>
      </w:r>
      <w:r w:rsidR="00416203" w:rsidRPr="00483285">
        <w:rPr>
          <w:rFonts w:ascii="Times New Roman" w:hAnsi="Times New Roman" w:cs="Times New Roman"/>
          <w:sz w:val="18"/>
          <w:szCs w:val="18"/>
          <w:lang w:val="en-US"/>
        </w:rPr>
        <w:t>(g)</w:t>
      </w:r>
      <w:r w:rsidR="00AD7D4C" w:rsidRPr="00483285">
        <w:rPr>
          <w:rFonts w:ascii="Times New Roman" w:hAnsi="Times New Roman" w:cs="Times New Roman"/>
          <w:sz w:val="18"/>
          <w:szCs w:val="18"/>
          <w:lang w:val="en-US"/>
        </w:rPr>
        <w:t xml:space="preserve"> </w:t>
      </w:r>
      <w:r w:rsidR="00CB6DA9" w:rsidRPr="00483285">
        <w:rPr>
          <w:rFonts w:ascii="Times New Roman" w:hAnsi="Times New Roman" w:cs="Times New Roman"/>
          <w:sz w:val="18"/>
          <w:szCs w:val="18"/>
          <w:lang w:val="en-US"/>
        </w:rPr>
        <w:t xml:space="preserve">show </w:t>
      </w:r>
      <w:r w:rsidR="00473A22" w:rsidRPr="00483285">
        <w:rPr>
          <w:rFonts w:ascii="Times New Roman" w:hAnsi="Times New Roman" w:cs="Times New Roman"/>
          <w:sz w:val="18"/>
          <w:szCs w:val="18"/>
          <w:lang w:val="en-US"/>
        </w:rPr>
        <w:t xml:space="preserve">examples of </w:t>
      </w:r>
      <w:r w:rsidR="00CB6DA9" w:rsidRPr="00483285">
        <w:rPr>
          <w:rFonts w:ascii="Times New Roman" w:hAnsi="Times New Roman" w:cs="Times New Roman"/>
          <w:sz w:val="18"/>
          <w:szCs w:val="18"/>
          <w:lang w:val="en-US"/>
        </w:rPr>
        <w:t xml:space="preserve">diel </w:t>
      </w:r>
      <w:r w:rsidR="00416203" w:rsidRPr="00483285">
        <w:rPr>
          <w:rFonts w:ascii="Times New Roman" w:hAnsi="Times New Roman" w:cs="Times New Roman"/>
          <w:sz w:val="18"/>
          <w:szCs w:val="18"/>
          <w:lang w:val="en-US"/>
        </w:rPr>
        <w:t xml:space="preserve">emission </w:t>
      </w:r>
      <w:r w:rsidR="00473A22" w:rsidRPr="00483285">
        <w:rPr>
          <w:rFonts w:ascii="Times New Roman" w:hAnsi="Times New Roman" w:cs="Times New Roman"/>
          <w:sz w:val="18"/>
          <w:szCs w:val="18"/>
          <w:lang w:val="en-US"/>
        </w:rPr>
        <w:t xml:space="preserve">variations during different seasons of the year 2019 (note the different y-scales) </w:t>
      </w:r>
      <w:r w:rsidR="00416203" w:rsidRPr="00483285">
        <w:rPr>
          <w:rFonts w:ascii="Times New Roman" w:hAnsi="Times New Roman" w:cs="Times New Roman"/>
          <w:sz w:val="18"/>
          <w:szCs w:val="18"/>
          <w:lang w:val="en-US"/>
        </w:rPr>
        <w:t>and (b)-(d)</w:t>
      </w:r>
      <w:r w:rsidR="00473A22" w:rsidRPr="00483285">
        <w:rPr>
          <w:rFonts w:ascii="Times New Roman" w:hAnsi="Times New Roman" w:cs="Times New Roman"/>
          <w:sz w:val="18"/>
          <w:szCs w:val="18"/>
          <w:lang w:val="en-US"/>
        </w:rPr>
        <w:t xml:space="preserve"> </w:t>
      </w:r>
      <w:r w:rsidR="00AD7D4C" w:rsidRPr="00483285">
        <w:rPr>
          <w:rFonts w:ascii="Times New Roman" w:hAnsi="Times New Roman" w:cs="Times New Roman"/>
          <w:sz w:val="18"/>
          <w:szCs w:val="18"/>
          <w:lang w:val="en-US"/>
        </w:rPr>
        <w:t>the corresponding current climate PPFD and temperature values used for the simulation.</w:t>
      </w:r>
      <w:r w:rsidR="00D279DB" w:rsidRPr="00483285">
        <w:rPr>
          <w:rFonts w:ascii="Times New Roman" w:hAnsi="Times New Roman" w:cs="Times New Roman"/>
          <w:sz w:val="18"/>
          <w:szCs w:val="18"/>
          <w:lang w:val="en-US"/>
        </w:rPr>
        <w:t xml:space="preserve"> </w:t>
      </w:r>
      <w:r w:rsidRPr="00483285">
        <w:rPr>
          <w:rFonts w:ascii="Times New Roman" w:hAnsi="Times New Roman" w:cs="Times New Roman"/>
          <w:sz w:val="18"/>
          <w:szCs w:val="18"/>
          <w:lang w:val="en-US"/>
        </w:rPr>
        <w:t xml:space="preserve">The color numbers inserted inside the graphs report the total </w:t>
      </w:r>
      <w:r w:rsidR="00473A22" w:rsidRPr="00483285">
        <w:rPr>
          <w:rFonts w:ascii="Times New Roman" w:hAnsi="Times New Roman" w:cs="Times New Roman"/>
          <w:sz w:val="18"/>
          <w:szCs w:val="18"/>
          <w:lang w:val="en-US"/>
        </w:rPr>
        <w:t>annual (</w:t>
      </w:r>
      <w:r w:rsidR="00416203" w:rsidRPr="00483285">
        <w:rPr>
          <w:rFonts w:ascii="Times New Roman" w:hAnsi="Times New Roman" w:cs="Times New Roman"/>
          <w:sz w:val="18"/>
          <w:szCs w:val="18"/>
          <w:lang w:val="en-US"/>
        </w:rPr>
        <w:t>(</w:t>
      </w:r>
      <w:r w:rsidR="00473A22" w:rsidRPr="00483285">
        <w:rPr>
          <w:rFonts w:ascii="Times New Roman" w:hAnsi="Times New Roman" w:cs="Times New Roman"/>
          <w:sz w:val="18"/>
          <w:szCs w:val="18"/>
          <w:lang w:val="en-US"/>
        </w:rPr>
        <w:t>a</w:t>
      </w:r>
      <w:r w:rsidR="00416203" w:rsidRPr="00483285">
        <w:rPr>
          <w:rFonts w:ascii="Times New Roman" w:hAnsi="Times New Roman" w:cs="Times New Roman"/>
          <w:sz w:val="18"/>
          <w:szCs w:val="18"/>
          <w:lang w:val="en-US"/>
        </w:rPr>
        <w:t>)</w:t>
      </w:r>
      <w:r w:rsidR="00473A22" w:rsidRPr="00483285">
        <w:rPr>
          <w:rFonts w:ascii="Times New Roman" w:hAnsi="Times New Roman" w:cs="Times New Roman"/>
          <w:sz w:val="18"/>
          <w:szCs w:val="18"/>
          <w:lang w:val="en-US"/>
        </w:rPr>
        <w:t xml:space="preserve">) and </w:t>
      </w:r>
      <w:r w:rsidR="00735B2B" w:rsidRPr="00483285">
        <w:rPr>
          <w:rFonts w:ascii="Times New Roman" w:hAnsi="Times New Roman" w:cs="Times New Roman"/>
          <w:sz w:val="18"/>
          <w:szCs w:val="18"/>
          <w:lang w:val="en-US"/>
        </w:rPr>
        <w:t xml:space="preserve">total </w:t>
      </w:r>
      <w:r w:rsidRPr="00483285">
        <w:rPr>
          <w:rFonts w:ascii="Times New Roman" w:hAnsi="Times New Roman" w:cs="Times New Roman"/>
          <w:sz w:val="18"/>
          <w:szCs w:val="18"/>
          <w:lang w:val="en-US"/>
        </w:rPr>
        <w:t>daily (</w:t>
      </w:r>
      <w:r w:rsidR="00416203" w:rsidRPr="00483285">
        <w:rPr>
          <w:rFonts w:ascii="Times New Roman" w:hAnsi="Times New Roman" w:cs="Times New Roman"/>
          <w:sz w:val="18"/>
          <w:szCs w:val="18"/>
          <w:lang w:val="en-US"/>
        </w:rPr>
        <w:t>(</w:t>
      </w:r>
      <w:r w:rsidR="00470EEA">
        <w:rPr>
          <w:rFonts w:ascii="Times New Roman" w:hAnsi="Times New Roman" w:cs="Times New Roman"/>
          <w:sz w:val="18"/>
          <w:szCs w:val="18"/>
          <w:lang w:val="en-US"/>
        </w:rPr>
        <w:t>e</w:t>
      </w:r>
      <w:r w:rsidR="00416203" w:rsidRPr="00483285">
        <w:rPr>
          <w:rFonts w:ascii="Times New Roman" w:hAnsi="Times New Roman" w:cs="Times New Roman"/>
          <w:sz w:val="18"/>
          <w:szCs w:val="18"/>
          <w:lang w:val="en-US"/>
        </w:rPr>
        <w:t>)-(</w:t>
      </w:r>
      <w:r w:rsidR="00473A22" w:rsidRPr="00483285">
        <w:rPr>
          <w:rFonts w:ascii="Times New Roman" w:hAnsi="Times New Roman" w:cs="Times New Roman"/>
          <w:sz w:val="18"/>
          <w:szCs w:val="18"/>
          <w:lang w:val="en-US"/>
        </w:rPr>
        <w:t>g</w:t>
      </w:r>
      <w:r w:rsidR="00416203" w:rsidRPr="00483285">
        <w:rPr>
          <w:rFonts w:ascii="Times New Roman" w:hAnsi="Times New Roman" w:cs="Times New Roman"/>
          <w:sz w:val="18"/>
          <w:szCs w:val="18"/>
          <w:lang w:val="en-US"/>
        </w:rPr>
        <w:t>)</w:t>
      </w:r>
      <w:r w:rsidRPr="00483285">
        <w:rPr>
          <w:rFonts w:ascii="Times New Roman" w:hAnsi="Times New Roman" w:cs="Times New Roman"/>
          <w:sz w:val="18"/>
          <w:szCs w:val="18"/>
          <w:lang w:val="en-US"/>
        </w:rPr>
        <w:t>) emission</w:t>
      </w:r>
      <w:r w:rsidR="00735B2B" w:rsidRPr="00483285">
        <w:rPr>
          <w:rFonts w:ascii="Times New Roman" w:hAnsi="Times New Roman" w:cs="Times New Roman"/>
          <w:sz w:val="18"/>
          <w:szCs w:val="18"/>
          <w:lang w:val="en-US"/>
        </w:rPr>
        <w:t>s</w:t>
      </w:r>
      <w:r w:rsidRPr="00483285">
        <w:rPr>
          <w:rFonts w:ascii="Times New Roman" w:hAnsi="Times New Roman" w:cs="Times New Roman"/>
          <w:sz w:val="18"/>
          <w:szCs w:val="18"/>
          <w:lang w:val="en-US"/>
        </w:rPr>
        <w:t xml:space="preserve">, respectively. </w:t>
      </w:r>
      <w:r w:rsidR="00D279DB" w:rsidRPr="00483285">
        <w:rPr>
          <w:rFonts w:ascii="Times New Roman" w:hAnsi="Times New Roman" w:cs="Times New Roman"/>
          <w:sz w:val="18"/>
          <w:szCs w:val="18"/>
          <w:lang w:val="en-US"/>
        </w:rPr>
        <w:t>The results of other</w:t>
      </w:r>
      <w:r w:rsidR="00CB6DA9" w:rsidRPr="00483285">
        <w:rPr>
          <w:rFonts w:ascii="Times New Roman" w:hAnsi="Times New Roman" w:cs="Times New Roman"/>
          <w:sz w:val="18"/>
          <w:szCs w:val="18"/>
          <w:lang w:val="en-US"/>
        </w:rPr>
        <w:t xml:space="preserve"> simulations </w:t>
      </w:r>
      <w:r w:rsidR="00D279DB" w:rsidRPr="00483285">
        <w:rPr>
          <w:rFonts w:ascii="Times New Roman" w:hAnsi="Times New Roman" w:cs="Times New Roman"/>
          <w:sz w:val="18"/>
          <w:szCs w:val="18"/>
          <w:lang w:val="en-US"/>
        </w:rPr>
        <w:t xml:space="preserve">are summarized in Table </w:t>
      </w:r>
      <w:r w:rsidR="003F0C7E">
        <w:rPr>
          <w:rFonts w:ascii="Times New Roman" w:hAnsi="Times New Roman" w:cs="Times New Roman"/>
          <w:sz w:val="18"/>
          <w:szCs w:val="18"/>
          <w:lang w:val="en-US"/>
        </w:rPr>
        <w:t>S5</w:t>
      </w:r>
      <w:r w:rsidR="00D279DB" w:rsidRPr="00483285">
        <w:rPr>
          <w:rFonts w:ascii="Times New Roman" w:hAnsi="Times New Roman" w:cs="Times New Roman"/>
          <w:sz w:val="18"/>
          <w:szCs w:val="18"/>
          <w:lang w:val="en-US"/>
        </w:rPr>
        <w:t xml:space="preserve"> </w:t>
      </w:r>
      <w:r w:rsidR="00DF530E">
        <w:rPr>
          <w:rFonts w:ascii="Times New Roman" w:hAnsi="Times New Roman" w:cs="Times New Roman"/>
          <w:sz w:val="18"/>
          <w:szCs w:val="18"/>
          <w:lang w:val="en-US"/>
        </w:rPr>
        <w:t xml:space="preserve">above </w:t>
      </w:r>
      <w:r w:rsidR="00D279DB" w:rsidRPr="00483285">
        <w:rPr>
          <w:rFonts w:ascii="Times New Roman" w:hAnsi="Times New Roman" w:cs="Times New Roman"/>
          <w:sz w:val="18"/>
          <w:szCs w:val="18"/>
          <w:lang w:val="en-US"/>
        </w:rPr>
        <w:t>and Fig</w:t>
      </w:r>
      <w:r w:rsidR="00D64DBF">
        <w:rPr>
          <w:rFonts w:ascii="Times New Roman" w:hAnsi="Times New Roman" w:cs="Times New Roman"/>
          <w:sz w:val="18"/>
          <w:szCs w:val="18"/>
          <w:lang w:val="en-US"/>
        </w:rPr>
        <w:t>.</w:t>
      </w:r>
      <w:r w:rsidR="00D279DB" w:rsidRPr="00483285">
        <w:rPr>
          <w:rFonts w:ascii="Times New Roman" w:hAnsi="Times New Roman" w:cs="Times New Roman"/>
          <w:sz w:val="18"/>
          <w:szCs w:val="18"/>
          <w:lang w:val="en-US"/>
        </w:rPr>
        <w:t xml:space="preserve"> </w:t>
      </w:r>
      <w:r w:rsidR="00BD777A">
        <w:rPr>
          <w:rFonts w:ascii="Times New Roman" w:hAnsi="Times New Roman" w:cs="Times New Roman"/>
          <w:sz w:val="18"/>
          <w:szCs w:val="18"/>
          <w:lang w:val="en-US"/>
        </w:rPr>
        <w:t>6</w:t>
      </w:r>
      <w:r w:rsidR="00D64DBF">
        <w:rPr>
          <w:rFonts w:ascii="Times New Roman" w:hAnsi="Times New Roman" w:cs="Times New Roman"/>
          <w:sz w:val="18"/>
          <w:szCs w:val="18"/>
          <w:lang w:val="en-US"/>
        </w:rPr>
        <w:t xml:space="preserve"> </w:t>
      </w:r>
      <w:r w:rsidR="00B25AA6">
        <w:rPr>
          <w:rFonts w:ascii="Times New Roman" w:hAnsi="Times New Roman" w:cs="Times New Roman"/>
          <w:sz w:val="18"/>
          <w:szCs w:val="18"/>
          <w:lang w:val="en-US"/>
        </w:rPr>
        <w:t>in</w:t>
      </w:r>
      <w:r w:rsidR="00D64DBF">
        <w:rPr>
          <w:rFonts w:ascii="Times New Roman" w:hAnsi="Times New Roman" w:cs="Times New Roman"/>
          <w:sz w:val="18"/>
          <w:szCs w:val="18"/>
          <w:lang w:val="en-US"/>
        </w:rPr>
        <w:t xml:space="preserve"> the main text</w:t>
      </w:r>
      <w:r w:rsidR="00D279DB" w:rsidRPr="00483285">
        <w:rPr>
          <w:rFonts w:ascii="Times New Roman" w:hAnsi="Times New Roman" w:cs="Times New Roman"/>
          <w:sz w:val="18"/>
          <w:szCs w:val="18"/>
          <w:lang w:val="en-US"/>
        </w:rPr>
        <w:t xml:space="preserve">. </w:t>
      </w:r>
    </w:p>
    <w:sectPr w:rsidR="00BA5F87" w:rsidRPr="00483285" w:rsidSect="001F20E5">
      <w:headerReference w:type="even" r:id="rId19"/>
      <w:headerReference w:type="default" r:id="rId20"/>
      <w:footerReference w:type="even" r:id="rId21"/>
      <w:footerReference w:type="default" r:id="rId22"/>
      <w:headerReference w:type="first" r:id="rId23"/>
      <w:footerReference w:type="first" r:id="rId24"/>
      <w:pgSz w:w="16840" w:h="11907" w:orient="landscape" w:code="9"/>
      <w:pgMar w:top="737" w:right="567" w:bottom="567" w:left="73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AFE0F2" w14:textId="77777777" w:rsidR="00EE2B52" w:rsidRDefault="00EE2B52" w:rsidP="00B23629">
      <w:pPr>
        <w:spacing w:after="0" w:line="240" w:lineRule="auto"/>
      </w:pPr>
      <w:r>
        <w:separator/>
      </w:r>
    </w:p>
  </w:endnote>
  <w:endnote w:type="continuationSeparator" w:id="0">
    <w:p w14:paraId="3B8129E4" w14:textId="77777777" w:rsidR="00EE2B52" w:rsidRDefault="00EE2B52" w:rsidP="00B236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BF2D5F" w14:textId="77777777" w:rsidR="004E5B22" w:rsidRDefault="004E5B22">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65CBFA" w14:textId="77777777" w:rsidR="004E5B22" w:rsidRDefault="004E5B22">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7DAD5E" w14:textId="77777777" w:rsidR="004E5B22" w:rsidRDefault="004E5B22">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C1FF5A" w14:textId="77777777" w:rsidR="004E5B22" w:rsidRDefault="004E5B22">
    <w:pPr>
      <w:pStyle w:val="Pieddepage"/>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AF809E" w14:textId="77777777" w:rsidR="004E5B22" w:rsidRDefault="004E5B22">
    <w:pPr>
      <w:pStyle w:val="Pieddepage"/>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8D2D37" w14:textId="77777777" w:rsidR="004E5B22" w:rsidRDefault="004E5B22">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5A74C6" w14:textId="77777777" w:rsidR="00EE2B52" w:rsidRDefault="00EE2B52" w:rsidP="00B23629">
      <w:pPr>
        <w:spacing w:after="0" w:line="240" w:lineRule="auto"/>
      </w:pPr>
      <w:r>
        <w:separator/>
      </w:r>
    </w:p>
  </w:footnote>
  <w:footnote w:type="continuationSeparator" w:id="0">
    <w:p w14:paraId="48299D16" w14:textId="77777777" w:rsidR="00EE2B52" w:rsidRDefault="00EE2B52" w:rsidP="00B2362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BC2C4B" w14:textId="77777777" w:rsidR="004E5B22" w:rsidRDefault="004E5B22">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955149" w14:textId="77777777" w:rsidR="004E5B22" w:rsidRDefault="004E5B22">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4D03C7" w14:textId="77777777" w:rsidR="004E5B22" w:rsidRDefault="004E5B22">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D65918" w14:textId="77777777" w:rsidR="004E5B22" w:rsidRDefault="004E5B22">
    <w:pPr>
      <w:pStyle w:val="En-tte"/>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292E43" w14:textId="77777777" w:rsidR="004E5B22" w:rsidRDefault="004E5B22">
    <w:pPr>
      <w:pStyle w:val="En-tte"/>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87949A" w14:textId="77777777" w:rsidR="004E5B22" w:rsidRDefault="004E5B22">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1B3DDD"/>
    <w:multiLevelType w:val="hybridMultilevel"/>
    <w:tmpl w:val="05CE2904"/>
    <w:lvl w:ilvl="0" w:tplc="64FCA504">
      <w:start w:val="5"/>
      <w:numFmt w:val="bullet"/>
      <w:lvlText w:val=""/>
      <w:lvlJc w:val="left"/>
      <w:pPr>
        <w:ind w:left="720" w:hanging="360"/>
      </w:pPr>
      <w:rPr>
        <w:rFonts w:ascii="Symbol" w:eastAsiaTheme="minorHAnsi" w:hAnsi="Symbol" w:cstheme="maj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76A56EE7"/>
    <w:multiLevelType w:val="hybridMultilevel"/>
    <w:tmpl w:val="F89C15A2"/>
    <w:lvl w:ilvl="0" w:tplc="BFD60EEC">
      <w:numFmt w:val="bullet"/>
      <w:lvlText w:val=""/>
      <w:lvlJc w:val="left"/>
      <w:pPr>
        <w:ind w:left="720" w:hanging="360"/>
      </w:pPr>
      <w:rPr>
        <w:rFonts w:ascii="Symbol" w:eastAsia="Calibri"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removePersonalInformation/>
  <w:removeDateAndTime/>
  <w:activeWritingStyle w:appName="MSWord" w:lang="de-DE" w:vendorID="64" w:dllVersion="131078" w:nlCheck="1" w:checkStyle="0"/>
  <w:activeWritingStyle w:appName="MSWord" w:lang="en-US" w:vendorID="64" w:dllVersion="131078" w:nlCheck="1" w:checkStyle="1"/>
  <w:activeWritingStyle w:appName="MSWord" w:lang="en-GB" w:vendorID="64" w:dllVersion="131078" w:nlCheck="1" w:checkStyle="1"/>
  <w:activeWritingStyle w:appName="MSWord" w:lang="fr-FR" w:vendorID="64" w:dllVersion="131078" w:nlCheck="1" w:checkStyle="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65F2"/>
    <w:rsid w:val="000041E4"/>
    <w:rsid w:val="00004E07"/>
    <w:rsid w:val="000056F0"/>
    <w:rsid w:val="0000775E"/>
    <w:rsid w:val="00007B6B"/>
    <w:rsid w:val="00012027"/>
    <w:rsid w:val="00012033"/>
    <w:rsid w:val="000121CC"/>
    <w:rsid w:val="00014C1A"/>
    <w:rsid w:val="000159FD"/>
    <w:rsid w:val="00015DAD"/>
    <w:rsid w:val="00017BC0"/>
    <w:rsid w:val="00021C75"/>
    <w:rsid w:val="00022634"/>
    <w:rsid w:val="0002404C"/>
    <w:rsid w:val="00024320"/>
    <w:rsid w:val="000269B1"/>
    <w:rsid w:val="000303B5"/>
    <w:rsid w:val="000311F4"/>
    <w:rsid w:val="00032087"/>
    <w:rsid w:val="00037BB9"/>
    <w:rsid w:val="00040917"/>
    <w:rsid w:val="00050775"/>
    <w:rsid w:val="000525CD"/>
    <w:rsid w:val="000571F2"/>
    <w:rsid w:val="00061FE0"/>
    <w:rsid w:val="00063271"/>
    <w:rsid w:val="00065187"/>
    <w:rsid w:val="00066437"/>
    <w:rsid w:val="00073136"/>
    <w:rsid w:val="00074D07"/>
    <w:rsid w:val="000771D0"/>
    <w:rsid w:val="00080425"/>
    <w:rsid w:val="00081B3C"/>
    <w:rsid w:val="00085152"/>
    <w:rsid w:val="000852AD"/>
    <w:rsid w:val="0009016B"/>
    <w:rsid w:val="000916F8"/>
    <w:rsid w:val="00091CF1"/>
    <w:rsid w:val="00094EAA"/>
    <w:rsid w:val="00096469"/>
    <w:rsid w:val="000A1B5A"/>
    <w:rsid w:val="000A3409"/>
    <w:rsid w:val="000A3916"/>
    <w:rsid w:val="000A6446"/>
    <w:rsid w:val="000B1C9E"/>
    <w:rsid w:val="000B53C3"/>
    <w:rsid w:val="000B70B3"/>
    <w:rsid w:val="000C4C22"/>
    <w:rsid w:val="000C6376"/>
    <w:rsid w:val="000C749B"/>
    <w:rsid w:val="000D1F12"/>
    <w:rsid w:val="000D4512"/>
    <w:rsid w:val="000D45D6"/>
    <w:rsid w:val="000D6A4A"/>
    <w:rsid w:val="000D71BD"/>
    <w:rsid w:val="000D78BD"/>
    <w:rsid w:val="000E12C2"/>
    <w:rsid w:val="000E26EC"/>
    <w:rsid w:val="000E310F"/>
    <w:rsid w:val="000E54F4"/>
    <w:rsid w:val="000E6547"/>
    <w:rsid w:val="000E678C"/>
    <w:rsid w:val="000E6F22"/>
    <w:rsid w:val="000E77B2"/>
    <w:rsid w:val="000F2A83"/>
    <w:rsid w:val="000F3399"/>
    <w:rsid w:val="000F39F9"/>
    <w:rsid w:val="000F7608"/>
    <w:rsid w:val="0010400A"/>
    <w:rsid w:val="0010438C"/>
    <w:rsid w:val="001069AA"/>
    <w:rsid w:val="001075A9"/>
    <w:rsid w:val="00107CD8"/>
    <w:rsid w:val="00111CB7"/>
    <w:rsid w:val="001149A0"/>
    <w:rsid w:val="00114F66"/>
    <w:rsid w:val="00122CD2"/>
    <w:rsid w:val="00123A54"/>
    <w:rsid w:val="00123AE0"/>
    <w:rsid w:val="00123F62"/>
    <w:rsid w:val="00125FA6"/>
    <w:rsid w:val="00127EEB"/>
    <w:rsid w:val="001345AB"/>
    <w:rsid w:val="001410F9"/>
    <w:rsid w:val="00143BF0"/>
    <w:rsid w:val="00145159"/>
    <w:rsid w:val="00146449"/>
    <w:rsid w:val="00147C38"/>
    <w:rsid w:val="00152D55"/>
    <w:rsid w:val="00152DF0"/>
    <w:rsid w:val="0015655A"/>
    <w:rsid w:val="001610D0"/>
    <w:rsid w:val="00163065"/>
    <w:rsid w:val="00163D2F"/>
    <w:rsid w:val="00164C05"/>
    <w:rsid w:val="001653EB"/>
    <w:rsid w:val="00166ED0"/>
    <w:rsid w:val="00167735"/>
    <w:rsid w:val="0017225D"/>
    <w:rsid w:val="00172309"/>
    <w:rsid w:val="0017277A"/>
    <w:rsid w:val="001730B8"/>
    <w:rsid w:val="00173B32"/>
    <w:rsid w:val="0017561B"/>
    <w:rsid w:val="0017736A"/>
    <w:rsid w:val="00177FDF"/>
    <w:rsid w:val="0018145E"/>
    <w:rsid w:val="0018365E"/>
    <w:rsid w:val="001837A0"/>
    <w:rsid w:val="0018413A"/>
    <w:rsid w:val="00184CB2"/>
    <w:rsid w:val="0018748E"/>
    <w:rsid w:val="00191C11"/>
    <w:rsid w:val="001940E9"/>
    <w:rsid w:val="00194750"/>
    <w:rsid w:val="00196BA8"/>
    <w:rsid w:val="001A30E0"/>
    <w:rsid w:val="001A4E4C"/>
    <w:rsid w:val="001A53E5"/>
    <w:rsid w:val="001B0D12"/>
    <w:rsid w:val="001B1C4F"/>
    <w:rsid w:val="001B43D6"/>
    <w:rsid w:val="001B547E"/>
    <w:rsid w:val="001B55F3"/>
    <w:rsid w:val="001C021F"/>
    <w:rsid w:val="001C064D"/>
    <w:rsid w:val="001C1013"/>
    <w:rsid w:val="001C1D95"/>
    <w:rsid w:val="001C4E0B"/>
    <w:rsid w:val="001C53C6"/>
    <w:rsid w:val="001D27C2"/>
    <w:rsid w:val="001D31E1"/>
    <w:rsid w:val="001D4753"/>
    <w:rsid w:val="001D6E5A"/>
    <w:rsid w:val="001E386D"/>
    <w:rsid w:val="001E72F5"/>
    <w:rsid w:val="001F13A4"/>
    <w:rsid w:val="001F1B23"/>
    <w:rsid w:val="001F20E5"/>
    <w:rsid w:val="00201997"/>
    <w:rsid w:val="00201C32"/>
    <w:rsid w:val="002031C4"/>
    <w:rsid w:val="00203B0F"/>
    <w:rsid w:val="002040AE"/>
    <w:rsid w:val="002066FE"/>
    <w:rsid w:val="00213DCB"/>
    <w:rsid w:val="00214FA1"/>
    <w:rsid w:val="00216EF9"/>
    <w:rsid w:val="0022243B"/>
    <w:rsid w:val="00222A70"/>
    <w:rsid w:val="00225A10"/>
    <w:rsid w:val="0022684F"/>
    <w:rsid w:val="00230579"/>
    <w:rsid w:val="00230FE3"/>
    <w:rsid w:val="00231906"/>
    <w:rsid w:val="002328B1"/>
    <w:rsid w:val="00233EB1"/>
    <w:rsid w:val="0023428A"/>
    <w:rsid w:val="002354C1"/>
    <w:rsid w:val="00235A7C"/>
    <w:rsid w:val="00236D2F"/>
    <w:rsid w:val="0024363B"/>
    <w:rsid w:val="0024559C"/>
    <w:rsid w:val="00245DDA"/>
    <w:rsid w:val="00247AB6"/>
    <w:rsid w:val="00247CB1"/>
    <w:rsid w:val="002505FF"/>
    <w:rsid w:val="00251815"/>
    <w:rsid w:val="002519D9"/>
    <w:rsid w:val="00251E14"/>
    <w:rsid w:val="00255BAE"/>
    <w:rsid w:val="00260BD9"/>
    <w:rsid w:val="00261A81"/>
    <w:rsid w:val="00264B77"/>
    <w:rsid w:val="002653C3"/>
    <w:rsid w:val="00271388"/>
    <w:rsid w:val="00271D3B"/>
    <w:rsid w:val="00274221"/>
    <w:rsid w:val="00274859"/>
    <w:rsid w:val="00275349"/>
    <w:rsid w:val="00283265"/>
    <w:rsid w:val="00283E8B"/>
    <w:rsid w:val="00287961"/>
    <w:rsid w:val="00287B6C"/>
    <w:rsid w:val="00287CE3"/>
    <w:rsid w:val="0029053D"/>
    <w:rsid w:val="002941E8"/>
    <w:rsid w:val="00296ECF"/>
    <w:rsid w:val="00297ED5"/>
    <w:rsid w:val="002A4099"/>
    <w:rsid w:val="002A54D5"/>
    <w:rsid w:val="002A54E7"/>
    <w:rsid w:val="002B1DAC"/>
    <w:rsid w:val="002B268A"/>
    <w:rsid w:val="002B40D8"/>
    <w:rsid w:val="002C1805"/>
    <w:rsid w:val="002C2269"/>
    <w:rsid w:val="002C5362"/>
    <w:rsid w:val="002D0544"/>
    <w:rsid w:val="002D0A9D"/>
    <w:rsid w:val="002D20BF"/>
    <w:rsid w:val="002D2C65"/>
    <w:rsid w:val="002D3D51"/>
    <w:rsid w:val="002D7723"/>
    <w:rsid w:val="002D784E"/>
    <w:rsid w:val="002E1369"/>
    <w:rsid w:val="002E2544"/>
    <w:rsid w:val="002E6A05"/>
    <w:rsid w:val="002E7351"/>
    <w:rsid w:val="002E7BCB"/>
    <w:rsid w:val="002F0510"/>
    <w:rsid w:val="002F1D99"/>
    <w:rsid w:val="002F442F"/>
    <w:rsid w:val="002F72E5"/>
    <w:rsid w:val="002F7A13"/>
    <w:rsid w:val="003001D5"/>
    <w:rsid w:val="003035EE"/>
    <w:rsid w:val="0030768C"/>
    <w:rsid w:val="00307A31"/>
    <w:rsid w:val="003108EA"/>
    <w:rsid w:val="00312F56"/>
    <w:rsid w:val="00313C21"/>
    <w:rsid w:val="00313D75"/>
    <w:rsid w:val="003151E6"/>
    <w:rsid w:val="003209FF"/>
    <w:rsid w:val="0032261E"/>
    <w:rsid w:val="003226A0"/>
    <w:rsid w:val="0032375F"/>
    <w:rsid w:val="00325601"/>
    <w:rsid w:val="00331BC5"/>
    <w:rsid w:val="00332153"/>
    <w:rsid w:val="003324C6"/>
    <w:rsid w:val="00336D6E"/>
    <w:rsid w:val="00341762"/>
    <w:rsid w:val="003418BE"/>
    <w:rsid w:val="00342CF6"/>
    <w:rsid w:val="00343187"/>
    <w:rsid w:val="003432FC"/>
    <w:rsid w:val="0034717B"/>
    <w:rsid w:val="00350D85"/>
    <w:rsid w:val="00356FAB"/>
    <w:rsid w:val="00357532"/>
    <w:rsid w:val="003608D5"/>
    <w:rsid w:val="00365698"/>
    <w:rsid w:val="00366FD5"/>
    <w:rsid w:val="0037216F"/>
    <w:rsid w:val="00374E0A"/>
    <w:rsid w:val="00375B8F"/>
    <w:rsid w:val="00380A9E"/>
    <w:rsid w:val="00381388"/>
    <w:rsid w:val="00381872"/>
    <w:rsid w:val="00381C52"/>
    <w:rsid w:val="00382D00"/>
    <w:rsid w:val="00384D46"/>
    <w:rsid w:val="00385354"/>
    <w:rsid w:val="003907EC"/>
    <w:rsid w:val="00391FAB"/>
    <w:rsid w:val="00394636"/>
    <w:rsid w:val="003979CA"/>
    <w:rsid w:val="003A0B00"/>
    <w:rsid w:val="003A1BDB"/>
    <w:rsid w:val="003A3C6F"/>
    <w:rsid w:val="003A6692"/>
    <w:rsid w:val="003B0FB1"/>
    <w:rsid w:val="003B1FBA"/>
    <w:rsid w:val="003B56FA"/>
    <w:rsid w:val="003B7B70"/>
    <w:rsid w:val="003C231E"/>
    <w:rsid w:val="003C272D"/>
    <w:rsid w:val="003C386C"/>
    <w:rsid w:val="003D2900"/>
    <w:rsid w:val="003D5DD4"/>
    <w:rsid w:val="003D6DBD"/>
    <w:rsid w:val="003E1E94"/>
    <w:rsid w:val="003E2881"/>
    <w:rsid w:val="003E39FC"/>
    <w:rsid w:val="003E43FC"/>
    <w:rsid w:val="003E5202"/>
    <w:rsid w:val="003E5D8F"/>
    <w:rsid w:val="003F03C6"/>
    <w:rsid w:val="003F0C7E"/>
    <w:rsid w:val="003F149E"/>
    <w:rsid w:val="003F3460"/>
    <w:rsid w:val="003F45E9"/>
    <w:rsid w:val="003F5277"/>
    <w:rsid w:val="003F5F99"/>
    <w:rsid w:val="00400AEF"/>
    <w:rsid w:val="00401951"/>
    <w:rsid w:val="00410285"/>
    <w:rsid w:val="00410411"/>
    <w:rsid w:val="00410F0E"/>
    <w:rsid w:val="004112E9"/>
    <w:rsid w:val="004125ED"/>
    <w:rsid w:val="0041427D"/>
    <w:rsid w:val="00414B50"/>
    <w:rsid w:val="00416203"/>
    <w:rsid w:val="004168B3"/>
    <w:rsid w:val="00416C4D"/>
    <w:rsid w:val="004219A1"/>
    <w:rsid w:val="00422072"/>
    <w:rsid w:val="00423070"/>
    <w:rsid w:val="00424192"/>
    <w:rsid w:val="00444FA0"/>
    <w:rsid w:val="00450764"/>
    <w:rsid w:val="00452238"/>
    <w:rsid w:val="004522C9"/>
    <w:rsid w:val="00452EF4"/>
    <w:rsid w:val="00454677"/>
    <w:rsid w:val="00455212"/>
    <w:rsid w:val="0045622B"/>
    <w:rsid w:val="00457F5D"/>
    <w:rsid w:val="00466DCC"/>
    <w:rsid w:val="004671D2"/>
    <w:rsid w:val="00470EEA"/>
    <w:rsid w:val="00473A22"/>
    <w:rsid w:val="00474FC0"/>
    <w:rsid w:val="004814D8"/>
    <w:rsid w:val="00482139"/>
    <w:rsid w:val="0048240B"/>
    <w:rsid w:val="00483050"/>
    <w:rsid w:val="00483285"/>
    <w:rsid w:val="00486E38"/>
    <w:rsid w:val="004963A3"/>
    <w:rsid w:val="00496BAC"/>
    <w:rsid w:val="00496DDC"/>
    <w:rsid w:val="004A1E4B"/>
    <w:rsid w:val="004A2183"/>
    <w:rsid w:val="004A26A5"/>
    <w:rsid w:val="004A2D76"/>
    <w:rsid w:val="004A6162"/>
    <w:rsid w:val="004A6FB4"/>
    <w:rsid w:val="004B0235"/>
    <w:rsid w:val="004B114A"/>
    <w:rsid w:val="004B555A"/>
    <w:rsid w:val="004C1B8D"/>
    <w:rsid w:val="004C278E"/>
    <w:rsid w:val="004C49FC"/>
    <w:rsid w:val="004C4A92"/>
    <w:rsid w:val="004C6821"/>
    <w:rsid w:val="004C6F9C"/>
    <w:rsid w:val="004D0B71"/>
    <w:rsid w:val="004D34FF"/>
    <w:rsid w:val="004D459E"/>
    <w:rsid w:val="004D52CA"/>
    <w:rsid w:val="004D5921"/>
    <w:rsid w:val="004D646A"/>
    <w:rsid w:val="004E0509"/>
    <w:rsid w:val="004E117A"/>
    <w:rsid w:val="004E3CF2"/>
    <w:rsid w:val="004E427B"/>
    <w:rsid w:val="004E46AF"/>
    <w:rsid w:val="004E5B22"/>
    <w:rsid w:val="004F0818"/>
    <w:rsid w:val="004F199F"/>
    <w:rsid w:val="004F1A0A"/>
    <w:rsid w:val="004F5210"/>
    <w:rsid w:val="004F5A46"/>
    <w:rsid w:val="005038B5"/>
    <w:rsid w:val="00503F4F"/>
    <w:rsid w:val="00505396"/>
    <w:rsid w:val="00506865"/>
    <w:rsid w:val="005126F8"/>
    <w:rsid w:val="00513174"/>
    <w:rsid w:val="00514D68"/>
    <w:rsid w:val="00515780"/>
    <w:rsid w:val="00517245"/>
    <w:rsid w:val="00517C72"/>
    <w:rsid w:val="00523405"/>
    <w:rsid w:val="0052424C"/>
    <w:rsid w:val="005262BB"/>
    <w:rsid w:val="005262F1"/>
    <w:rsid w:val="00527C92"/>
    <w:rsid w:val="00532DBE"/>
    <w:rsid w:val="005370CB"/>
    <w:rsid w:val="00540A89"/>
    <w:rsid w:val="00545C60"/>
    <w:rsid w:val="00546C6B"/>
    <w:rsid w:val="00547883"/>
    <w:rsid w:val="005515AA"/>
    <w:rsid w:val="0055457A"/>
    <w:rsid w:val="00556E8D"/>
    <w:rsid w:val="00562F13"/>
    <w:rsid w:val="00563B39"/>
    <w:rsid w:val="00563D9B"/>
    <w:rsid w:val="00570C41"/>
    <w:rsid w:val="00571B01"/>
    <w:rsid w:val="00575A22"/>
    <w:rsid w:val="00577E5C"/>
    <w:rsid w:val="00581682"/>
    <w:rsid w:val="00581AE1"/>
    <w:rsid w:val="00584D08"/>
    <w:rsid w:val="00587CC6"/>
    <w:rsid w:val="005907BD"/>
    <w:rsid w:val="00592135"/>
    <w:rsid w:val="00593A0F"/>
    <w:rsid w:val="005948B0"/>
    <w:rsid w:val="005A070A"/>
    <w:rsid w:val="005A1B60"/>
    <w:rsid w:val="005A1F34"/>
    <w:rsid w:val="005A4203"/>
    <w:rsid w:val="005A54E2"/>
    <w:rsid w:val="005A5DBC"/>
    <w:rsid w:val="005A7653"/>
    <w:rsid w:val="005B01A0"/>
    <w:rsid w:val="005B0E71"/>
    <w:rsid w:val="005B2572"/>
    <w:rsid w:val="005B41D3"/>
    <w:rsid w:val="005B568E"/>
    <w:rsid w:val="005B6739"/>
    <w:rsid w:val="005C054D"/>
    <w:rsid w:val="005C0941"/>
    <w:rsid w:val="005C1B25"/>
    <w:rsid w:val="005C32A2"/>
    <w:rsid w:val="005C3905"/>
    <w:rsid w:val="005C5034"/>
    <w:rsid w:val="005C6295"/>
    <w:rsid w:val="005C681A"/>
    <w:rsid w:val="005C7D0C"/>
    <w:rsid w:val="005D04FA"/>
    <w:rsid w:val="005D082A"/>
    <w:rsid w:val="005D1845"/>
    <w:rsid w:val="005D371E"/>
    <w:rsid w:val="005D54D1"/>
    <w:rsid w:val="005D5E4B"/>
    <w:rsid w:val="005E00C9"/>
    <w:rsid w:val="005E179F"/>
    <w:rsid w:val="005E6FBE"/>
    <w:rsid w:val="005F134D"/>
    <w:rsid w:val="005F3CC3"/>
    <w:rsid w:val="005F7B30"/>
    <w:rsid w:val="00601DA7"/>
    <w:rsid w:val="006027F4"/>
    <w:rsid w:val="00603400"/>
    <w:rsid w:val="006066C1"/>
    <w:rsid w:val="0061020D"/>
    <w:rsid w:val="0061391B"/>
    <w:rsid w:val="00614CF4"/>
    <w:rsid w:val="00615A5A"/>
    <w:rsid w:val="00616D32"/>
    <w:rsid w:val="00621318"/>
    <w:rsid w:val="006231D0"/>
    <w:rsid w:val="006328C4"/>
    <w:rsid w:val="0063305F"/>
    <w:rsid w:val="00634A97"/>
    <w:rsid w:val="00636E23"/>
    <w:rsid w:val="00642621"/>
    <w:rsid w:val="00643DEF"/>
    <w:rsid w:val="006440C4"/>
    <w:rsid w:val="00644E2A"/>
    <w:rsid w:val="00646C49"/>
    <w:rsid w:val="00652102"/>
    <w:rsid w:val="00653621"/>
    <w:rsid w:val="00657FD0"/>
    <w:rsid w:val="00661DB8"/>
    <w:rsid w:val="00664D3D"/>
    <w:rsid w:val="00665C30"/>
    <w:rsid w:val="0066644D"/>
    <w:rsid w:val="00681863"/>
    <w:rsid w:val="00684318"/>
    <w:rsid w:val="006849E7"/>
    <w:rsid w:val="00685B2E"/>
    <w:rsid w:val="0068650C"/>
    <w:rsid w:val="00693DB3"/>
    <w:rsid w:val="00696F51"/>
    <w:rsid w:val="006A1C6D"/>
    <w:rsid w:val="006A65F2"/>
    <w:rsid w:val="006B0F9A"/>
    <w:rsid w:val="006B2758"/>
    <w:rsid w:val="006B46C3"/>
    <w:rsid w:val="006C0A07"/>
    <w:rsid w:val="006C2247"/>
    <w:rsid w:val="006C2F32"/>
    <w:rsid w:val="006C5D12"/>
    <w:rsid w:val="006C717D"/>
    <w:rsid w:val="006C7AB6"/>
    <w:rsid w:val="006D250C"/>
    <w:rsid w:val="006D53A6"/>
    <w:rsid w:val="006D5638"/>
    <w:rsid w:val="006D56BC"/>
    <w:rsid w:val="006E29C8"/>
    <w:rsid w:val="006E5120"/>
    <w:rsid w:val="006E51D3"/>
    <w:rsid w:val="006E5332"/>
    <w:rsid w:val="006E5457"/>
    <w:rsid w:val="006E5701"/>
    <w:rsid w:val="006E5FE6"/>
    <w:rsid w:val="006F0105"/>
    <w:rsid w:val="006F1CCB"/>
    <w:rsid w:val="006F2172"/>
    <w:rsid w:val="006F266B"/>
    <w:rsid w:val="006F284B"/>
    <w:rsid w:val="006F288A"/>
    <w:rsid w:val="006F41D3"/>
    <w:rsid w:val="006F4728"/>
    <w:rsid w:val="006F4AC0"/>
    <w:rsid w:val="006F4CDE"/>
    <w:rsid w:val="006F4DFC"/>
    <w:rsid w:val="006F56AC"/>
    <w:rsid w:val="006F680B"/>
    <w:rsid w:val="006F777D"/>
    <w:rsid w:val="006F7B44"/>
    <w:rsid w:val="00701F9B"/>
    <w:rsid w:val="007042AF"/>
    <w:rsid w:val="00715902"/>
    <w:rsid w:val="00716CA0"/>
    <w:rsid w:val="0071761B"/>
    <w:rsid w:val="007236CD"/>
    <w:rsid w:val="00724629"/>
    <w:rsid w:val="007327D8"/>
    <w:rsid w:val="00732F2B"/>
    <w:rsid w:val="00733084"/>
    <w:rsid w:val="0073428F"/>
    <w:rsid w:val="00735B2B"/>
    <w:rsid w:val="00736808"/>
    <w:rsid w:val="0074253D"/>
    <w:rsid w:val="00742F0C"/>
    <w:rsid w:val="007445E1"/>
    <w:rsid w:val="00745582"/>
    <w:rsid w:val="00751071"/>
    <w:rsid w:val="00751DE8"/>
    <w:rsid w:val="007530CD"/>
    <w:rsid w:val="007549FD"/>
    <w:rsid w:val="00760B02"/>
    <w:rsid w:val="007631E1"/>
    <w:rsid w:val="007638DE"/>
    <w:rsid w:val="00767179"/>
    <w:rsid w:val="00767F9B"/>
    <w:rsid w:val="007702AD"/>
    <w:rsid w:val="00771A97"/>
    <w:rsid w:val="00774CE4"/>
    <w:rsid w:val="00774D8A"/>
    <w:rsid w:val="00775815"/>
    <w:rsid w:val="0077586D"/>
    <w:rsid w:val="00775C18"/>
    <w:rsid w:val="00781438"/>
    <w:rsid w:val="007816D6"/>
    <w:rsid w:val="007826EA"/>
    <w:rsid w:val="007828B9"/>
    <w:rsid w:val="0078344F"/>
    <w:rsid w:val="00786DE9"/>
    <w:rsid w:val="00791364"/>
    <w:rsid w:val="00792F5E"/>
    <w:rsid w:val="007937F8"/>
    <w:rsid w:val="0079404D"/>
    <w:rsid w:val="00797C0A"/>
    <w:rsid w:val="007A2D71"/>
    <w:rsid w:val="007A6C12"/>
    <w:rsid w:val="007B16C1"/>
    <w:rsid w:val="007B1C1A"/>
    <w:rsid w:val="007B3780"/>
    <w:rsid w:val="007B5193"/>
    <w:rsid w:val="007B537D"/>
    <w:rsid w:val="007B65D0"/>
    <w:rsid w:val="007B6608"/>
    <w:rsid w:val="007C0296"/>
    <w:rsid w:val="007C28B0"/>
    <w:rsid w:val="007C4D39"/>
    <w:rsid w:val="007C6022"/>
    <w:rsid w:val="007D041E"/>
    <w:rsid w:val="007D178A"/>
    <w:rsid w:val="007D22BD"/>
    <w:rsid w:val="007E022D"/>
    <w:rsid w:val="007E0F09"/>
    <w:rsid w:val="007E166F"/>
    <w:rsid w:val="007E1966"/>
    <w:rsid w:val="007E27AE"/>
    <w:rsid w:val="007E4F16"/>
    <w:rsid w:val="007E590C"/>
    <w:rsid w:val="007E6E9F"/>
    <w:rsid w:val="007F2F56"/>
    <w:rsid w:val="007F3BDC"/>
    <w:rsid w:val="007F7E4B"/>
    <w:rsid w:val="00803A7B"/>
    <w:rsid w:val="008069EB"/>
    <w:rsid w:val="00807853"/>
    <w:rsid w:val="00810063"/>
    <w:rsid w:val="0081270E"/>
    <w:rsid w:val="00813868"/>
    <w:rsid w:val="00815993"/>
    <w:rsid w:val="00815D71"/>
    <w:rsid w:val="0081612E"/>
    <w:rsid w:val="008164F8"/>
    <w:rsid w:val="00820A42"/>
    <w:rsid w:val="00821221"/>
    <w:rsid w:val="00821603"/>
    <w:rsid w:val="0082269D"/>
    <w:rsid w:val="00830C7B"/>
    <w:rsid w:val="00832B17"/>
    <w:rsid w:val="008349C8"/>
    <w:rsid w:val="008407A4"/>
    <w:rsid w:val="00841E19"/>
    <w:rsid w:val="008500E0"/>
    <w:rsid w:val="008507AE"/>
    <w:rsid w:val="0086515F"/>
    <w:rsid w:val="00867959"/>
    <w:rsid w:val="00875E83"/>
    <w:rsid w:val="008763D3"/>
    <w:rsid w:val="00876ECA"/>
    <w:rsid w:val="008774DD"/>
    <w:rsid w:val="00882215"/>
    <w:rsid w:val="008845AE"/>
    <w:rsid w:val="00885534"/>
    <w:rsid w:val="008867DE"/>
    <w:rsid w:val="00890184"/>
    <w:rsid w:val="008923F1"/>
    <w:rsid w:val="00893E8E"/>
    <w:rsid w:val="00895C6D"/>
    <w:rsid w:val="00896C2A"/>
    <w:rsid w:val="008A19C5"/>
    <w:rsid w:val="008A231E"/>
    <w:rsid w:val="008A3558"/>
    <w:rsid w:val="008B28B6"/>
    <w:rsid w:val="008B4584"/>
    <w:rsid w:val="008B4E5C"/>
    <w:rsid w:val="008B77CB"/>
    <w:rsid w:val="008C4D90"/>
    <w:rsid w:val="008D355C"/>
    <w:rsid w:val="008D3707"/>
    <w:rsid w:val="008D7169"/>
    <w:rsid w:val="008D7D26"/>
    <w:rsid w:val="008E49E0"/>
    <w:rsid w:val="008E5528"/>
    <w:rsid w:val="008F0560"/>
    <w:rsid w:val="008F18A5"/>
    <w:rsid w:val="008F774C"/>
    <w:rsid w:val="009025B5"/>
    <w:rsid w:val="00903821"/>
    <w:rsid w:val="00903A2A"/>
    <w:rsid w:val="00904901"/>
    <w:rsid w:val="00904A8C"/>
    <w:rsid w:val="00905396"/>
    <w:rsid w:val="00905AC5"/>
    <w:rsid w:val="0091175C"/>
    <w:rsid w:val="0091575A"/>
    <w:rsid w:val="00917159"/>
    <w:rsid w:val="0092060E"/>
    <w:rsid w:val="009234E4"/>
    <w:rsid w:val="00925F56"/>
    <w:rsid w:val="00926C06"/>
    <w:rsid w:val="00927F69"/>
    <w:rsid w:val="0093137A"/>
    <w:rsid w:val="009367CE"/>
    <w:rsid w:val="00936B64"/>
    <w:rsid w:val="00942289"/>
    <w:rsid w:val="00943D28"/>
    <w:rsid w:val="009445AA"/>
    <w:rsid w:val="009452EE"/>
    <w:rsid w:val="00951488"/>
    <w:rsid w:val="00951BE1"/>
    <w:rsid w:val="00953923"/>
    <w:rsid w:val="00953CCF"/>
    <w:rsid w:val="009556D8"/>
    <w:rsid w:val="00955E68"/>
    <w:rsid w:val="00956B3E"/>
    <w:rsid w:val="009573FC"/>
    <w:rsid w:val="00960CB0"/>
    <w:rsid w:val="009630D5"/>
    <w:rsid w:val="0096457C"/>
    <w:rsid w:val="00965AAA"/>
    <w:rsid w:val="00967D37"/>
    <w:rsid w:val="00977D19"/>
    <w:rsid w:val="00980406"/>
    <w:rsid w:val="009811FD"/>
    <w:rsid w:val="009843E3"/>
    <w:rsid w:val="00984BC2"/>
    <w:rsid w:val="00985ECD"/>
    <w:rsid w:val="009860C6"/>
    <w:rsid w:val="009867FC"/>
    <w:rsid w:val="0099058F"/>
    <w:rsid w:val="009917F8"/>
    <w:rsid w:val="0099471D"/>
    <w:rsid w:val="00994DFD"/>
    <w:rsid w:val="009A2B18"/>
    <w:rsid w:val="009A5961"/>
    <w:rsid w:val="009A68A7"/>
    <w:rsid w:val="009B41C3"/>
    <w:rsid w:val="009B4BE4"/>
    <w:rsid w:val="009B7093"/>
    <w:rsid w:val="009B7919"/>
    <w:rsid w:val="009B7929"/>
    <w:rsid w:val="009C2E5A"/>
    <w:rsid w:val="009C5533"/>
    <w:rsid w:val="009C5546"/>
    <w:rsid w:val="009C7814"/>
    <w:rsid w:val="009D240A"/>
    <w:rsid w:val="009E036B"/>
    <w:rsid w:val="009E4D11"/>
    <w:rsid w:val="009F3673"/>
    <w:rsid w:val="009F4DAC"/>
    <w:rsid w:val="00A02648"/>
    <w:rsid w:val="00A064AB"/>
    <w:rsid w:val="00A07193"/>
    <w:rsid w:val="00A11FA5"/>
    <w:rsid w:val="00A13231"/>
    <w:rsid w:val="00A13DC3"/>
    <w:rsid w:val="00A14910"/>
    <w:rsid w:val="00A22595"/>
    <w:rsid w:val="00A24F70"/>
    <w:rsid w:val="00A252CF"/>
    <w:rsid w:val="00A254C5"/>
    <w:rsid w:val="00A27BE1"/>
    <w:rsid w:val="00A3119A"/>
    <w:rsid w:val="00A31D42"/>
    <w:rsid w:val="00A43D90"/>
    <w:rsid w:val="00A44AA5"/>
    <w:rsid w:val="00A47C92"/>
    <w:rsid w:val="00A515AC"/>
    <w:rsid w:val="00A63C95"/>
    <w:rsid w:val="00A6771C"/>
    <w:rsid w:val="00A703AE"/>
    <w:rsid w:val="00A72B28"/>
    <w:rsid w:val="00A75268"/>
    <w:rsid w:val="00A80709"/>
    <w:rsid w:val="00A80885"/>
    <w:rsid w:val="00A81E3C"/>
    <w:rsid w:val="00A8250C"/>
    <w:rsid w:val="00A8443C"/>
    <w:rsid w:val="00A87B5E"/>
    <w:rsid w:val="00A9765F"/>
    <w:rsid w:val="00AA0949"/>
    <w:rsid w:val="00AA20DF"/>
    <w:rsid w:val="00AA3528"/>
    <w:rsid w:val="00AA3D53"/>
    <w:rsid w:val="00AA6675"/>
    <w:rsid w:val="00AB34B7"/>
    <w:rsid w:val="00AB3D96"/>
    <w:rsid w:val="00AB4536"/>
    <w:rsid w:val="00AB45F9"/>
    <w:rsid w:val="00AB47F7"/>
    <w:rsid w:val="00AC3ABC"/>
    <w:rsid w:val="00AC425C"/>
    <w:rsid w:val="00AD2163"/>
    <w:rsid w:val="00AD6930"/>
    <w:rsid w:val="00AD6FD1"/>
    <w:rsid w:val="00AD7D4C"/>
    <w:rsid w:val="00AE107B"/>
    <w:rsid w:val="00AE38EA"/>
    <w:rsid w:val="00AE6036"/>
    <w:rsid w:val="00AE79E5"/>
    <w:rsid w:val="00AE7F3D"/>
    <w:rsid w:val="00AF1F1F"/>
    <w:rsid w:val="00AF21C6"/>
    <w:rsid w:val="00AF4C68"/>
    <w:rsid w:val="00AF608A"/>
    <w:rsid w:val="00AF6AF6"/>
    <w:rsid w:val="00AF6BFB"/>
    <w:rsid w:val="00AF6DF7"/>
    <w:rsid w:val="00B03862"/>
    <w:rsid w:val="00B03E72"/>
    <w:rsid w:val="00B06A43"/>
    <w:rsid w:val="00B11B9F"/>
    <w:rsid w:val="00B12B32"/>
    <w:rsid w:val="00B13253"/>
    <w:rsid w:val="00B14046"/>
    <w:rsid w:val="00B14DFC"/>
    <w:rsid w:val="00B168AF"/>
    <w:rsid w:val="00B16A3E"/>
    <w:rsid w:val="00B2211E"/>
    <w:rsid w:val="00B234D6"/>
    <w:rsid w:val="00B23629"/>
    <w:rsid w:val="00B23DE3"/>
    <w:rsid w:val="00B25AA6"/>
    <w:rsid w:val="00B2685F"/>
    <w:rsid w:val="00B3143A"/>
    <w:rsid w:val="00B31AEA"/>
    <w:rsid w:val="00B32FCA"/>
    <w:rsid w:val="00B345F4"/>
    <w:rsid w:val="00B3520F"/>
    <w:rsid w:val="00B35638"/>
    <w:rsid w:val="00B3570F"/>
    <w:rsid w:val="00B35DBA"/>
    <w:rsid w:val="00B40AC1"/>
    <w:rsid w:val="00B41E42"/>
    <w:rsid w:val="00B42239"/>
    <w:rsid w:val="00B446C4"/>
    <w:rsid w:val="00B4505D"/>
    <w:rsid w:val="00B4608D"/>
    <w:rsid w:val="00B46FE1"/>
    <w:rsid w:val="00B47F0F"/>
    <w:rsid w:val="00B50E4A"/>
    <w:rsid w:val="00B51DBF"/>
    <w:rsid w:val="00B52D38"/>
    <w:rsid w:val="00B532E2"/>
    <w:rsid w:val="00B53D11"/>
    <w:rsid w:val="00B55B3B"/>
    <w:rsid w:val="00B60C7D"/>
    <w:rsid w:val="00B66B71"/>
    <w:rsid w:val="00B67E76"/>
    <w:rsid w:val="00B72789"/>
    <w:rsid w:val="00B72944"/>
    <w:rsid w:val="00B74DB8"/>
    <w:rsid w:val="00B75158"/>
    <w:rsid w:val="00B75CDC"/>
    <w:rsid w:val="00B76A4A"/>
    <w:rsid w:val="00B7777D"/>
    <w:rsid w:val="00B804E6"/>
    <w:rsid w:val="00B832F9"/>
    <w:rsid w:val="00B83C41"/>
    <w:rsid w:val="00B86E5B"/>
    <w:rsid w:val="00B979AB"/>
    <w:rsid w:val="00BA5F87"/>
    <w:rsid w:val="00BA7048"/>
    <w:rsid w:val="00BB183E"/>
    <w:rsid w:val="00BB4175"/>
    <w:rsid w:val="00BC4084"/>
    <w:rsid w:val="00BC648A"/>
    <w:rsid w:val="00BD15D7"/>
    <w:rsid w:val="00BD51FC"/>
    <w:rsid w:val="00BD64D8"/>
    <w:rsid w:val="00BD777A"/>
    <w:rsid w:val="00BE0801"/>
    <w:rsid w:val="00BE121B"/>
    <w:rsid w:val="00BF27A3"/>
    <w:rsid w:val="00BF45CB"/>
    <w:rsid w:val="00C04040"/>
    <w:rsid w:val="00C04DEB"/>
    <w:rsid w:val="00C07796"/>
    <w:rsid w:val="00C07B1F"/>
    <w:rsid w:val="00C12B7A"/>
    <w:rsid w:val="00C13045"/>
    <w:rsid w:val="00C133EC"/>
    <w:rsid w:val="00C13884"/>
    <w:rsid w:val="00C14D61"/>
    <w:rsid w:val="00C16F39"/>
    <w:rsid w:val="00C253AF"/>
    <w:rsid w:val="00C277BE"/>
    <w:rsid w:val="00C31AE6"/>
    <w:rsid w:val="00C342FC"/>
    <w:rsid w:val="00C34C5D"/>
    <w:rsid w:val="00C40AA3"/>
    <w:rsid w:val="00C414DA"/>
    <w:rsid w:val="00C41E6C"/>
    <w:rsid w:val="00C432C3"/>
    <w:rsid w:val="00C439F2"/>
    <w:rsid w:val="00C469D0"/>
    <w:rsid w:val="00C46DA9"/>
    <w:rsid w:val="00C47AA6"/>
    <w:rsid w:val="00C505CC"/>
    <w:rsid w:val="00C510AF"/>
    <w:rsid w:val="00C5239F"/>
    <w:rsid w:val="00C5373D"/>
    <w:rsid w:val="00C5413F"/>
    <w:rsid w:val="00C54F66"/>
    <w:rsid w:val="00C55980"/>
    <w:rsid w:val="00C61647"/>
    <w:rsid w:val="00C64098"/>
    <w:rsid w:val="00C66CB0"/>
    <w:rsid w:val="00C71A64"/>
    <w:rsid w:val="00C71C51"/>
    <w:rsid w:val="00C7220A"/>
    <w:rsid w:val="00C72B34"/>
    <w:rsid w:val="00C72B92"/>
    <w:rsid w:val="00C75829"/>
    <w:rsid w:val="00C75F0D"/>
    <w:rsid w:val="00C91EF2"/>
    <w:rsid w:val="00C93776"/>
    <w:rsid w:val="00C94A46"/>
    <w:rsid w:val="00C97FCE"/>
    <w:rsid w:val="00CA4039"/>
    <w:rsid w:val="00CA543F"/>
    <w:rsid w:val="00CB0D01"/>
    <w:rsid w:val="00CB6DA9"/>
    <w:rsid w:val="00CC0344"/>
    <w:rsid w:val="00CC24E2"/>
    <w:rsid w:val="00CC4C4E"/>
    <w:rsid w:val="00CD1939"/>
    <w:rsid w:val="00CD30AF"/>
    <w:rsid w:val="00CD3323"/>
    <w:rsid w:val="00CE0826"/>
    <w:rsid w:val="00CE46CB"/>
    <w:rsid w:val="00CF1241"/>
    <w:rsid w:val="00CF1AB3"/>
    <w:rsid w:val="00CF33E5"/>
    <w:rsid w:val="00CF3C42"/>
    <w:rsid w:val="00CF4AA9"/>
    <w:rsid w:val="00CF54F8"/>
    <w:rsid w:val="00CF651E"/>
    <w:rsid w:val="00D0050D"/>
    <w:rsid w:val="00D0131D"/>
    <w:rsid w:val="00D0175A"/>
    <w:rsid w:val="00D0194B"/>
    <w:rsid w:val="00D0742D"/>
    <w:rsid w:val="00D106CB"/>
    <w:rsid w:val="00D127E4"/>
    <w:rsid w:val="00D12B2A"/>
    <w:rsid w:val="00D1392C"/>
    <w:rsid w:val="00D1675F"/>
    <w:rsid w:val="00D16C8D"/>
    <w:rsid w:val="00D17D7D"/>
    <w:rsid w:val="00D22759"/>
    <w:rsid w:val="00D2394A"/>
    <w:rsid w:val="00D26492"/>
    <w:rsid w:val="00D279DB"/>
    <w:rsid w:val="00D30270"/>
    <w:rsid w:val="00D31B47"/>
    <w:rsid w:val="00D33313"/>
    <w:rsid w:val="00D37723"/>
    <w:rsid w:val="00D4002E"/>
    <w:rsid w:val="00D43B19"/>
    <w:rsid w:val="00D44DC1"/>
    <w:rsid w:val="00D46B7C"/>
    <w:rsid w:val="00D46F2E"/>
    <w:rsid w:val="00D606CF"/>
    <w:rsid w:val="00D60842"/>
    <w:rsid w:val="00D61F49"/>
    <w:rsid w:val="00D649C4"/>
    <w:rsid w:val="00D64DBF"/>
    <w:rsid w:val="00D706DC"/>
    <w:rsid w:val="00D7574E"/>
    <w:rsid w:val="00D775CC"/>
    <w:rsid w:val="00D8006D"/>
    <w:rsid w:val="00D8096E"/>
    <w:rsid w:val="00D80BBD"/>
    <w:rsid w:val="00D81C2B"/>
    <w:rsid w:val="00D81D95"/>
    <w:rsid w:val="00D83984"/>
    <w:rsid w:val="00D83A40"/>
    <w:rsid w:val="00D852E5"/>
    <w:rsid w:val="00D8724A"/>
    <w:rsid w:val="00D925EC"/>
    <w:rsid w:val="00DA1488"/>
    <w:rsid w:val="00DA1985"/>
    <w:rsid w:val="00DA23AF"/>
    <w:rsid w:val="00DA2C6D"/>
    <w:rsid w:val="00DA3E8D"/>
    <w:rsid w:val="00DA4DB6"/>
    <w:rsid w:val="00DA7069"/>
    <w:rsid w:val="00DB04DE"/>
    <w:rsid w:val="00DB3C55"/>
    <w:rsid w:val="00DB6568"/>
    <w:rsid w:val="00DC0BD0"/>
    <w:rsid w:val="00DC1D3D"/>
    <w:rsid w:val="00DC2FAE"/>
    <w:rsid w:val="00DC30F8"/>
    <w:rsid w:val="00DC5B4B"/>
    <w:rsid w:val="00DD0DBB"/>
    <w:rsid w:val="00DD1D8B"/>
    <w:rsid w:val="00DD5E89"/>
    <w:rsid w:val="00DD66B7"/>
    <w:rsid w:val="00DD772E"/>
    <w:rsid w:val="00DE0694"/>
    <w:rsid w:val="00DE485D"/>
    <w:rsid w:val="00DE5304"/>
    <w:rsid w:val="00DE60C4"/>
    <w:rsid w:val="00DE76CB"/>
    <w:rsid w:val="00DF3051"/>
    <w:rsid w:val="00DF3DCD"/>
    <w:rsid w:val="00DF5081"/>
    <w:rsid w:val="00DF530E"/>
    <w:rsid w:val="00DF56A4"/>
    <w:rsid w:val="00DF6E09"/>
    <w:rsid w:val="00E00589"/>
    <w:rsid w:val="00E01973"/>
    <w:rsid w:val="00E03121"/>
    <w:rsid w:val="00E03470"/>
    <w:rsid w:val="00E034E7"/>
    <w:rsid w:val="00E0635A"/>
    <w:rsid w:val="00E06BF1"/>
    <w:rsid w:val="00E10F8C"/>
    <w:rsid w:val="00E11831"/>
    <w:rsid w:val="00E1454A"/>
    <w:rsid w:val="00E15355"/>
    <w:rsid w:val="00E163BD"/>
    <w:rsid w:val="00E21AC8"/>
    <w:rsid w:val="00E22579"/>
    <w:rsid w:val="00E2550F"/>
    <w:rsid w:val="00E25CA2"/>
    <w:rsid w:val="00E2676D"/>
    <w:rsid w:val="00E27510"/>
    <w:rsid w:val="00E30E8C"/>
    <w:rsid w:val="00E3111F"/>
    <w:rsid w:val="00E3118E"/>
    <w:rsid w:val="00E31E0F"/>
    <w:rsid w:val="00E34F80"/>
    <w:rsid w:val="00E35349"/>
    <w:rsid w:val="00E356A7"/>
    <w:rsid w:val="00E365C0"/>
    <w:rsid w:val="00E434B4"/>
    <w:rsid w:val="00E447FF"/>
    <w:rsid w:val="00E450F5"/>
    <w:rsid w:val="00E46224"/>
    <w:rsid w:val="00E502D5"/>
    <w:rsid w:val="00E5091E"/>
    <w:rsid w:val="00E52600"/>
    <w:rsid w:val="00E5638A"/>
    <w:rsid w:val="00E57311"/>
    <w:rsid w:val="00E6101C"/>
    <w:rsid w:val="00E6372A"/>
    <w:rsid w:val="00E643A1"/>
    <w:rsid w:val="00E648B8"/>
    <w:rsid w:val="00E65816"/>
    <w:rsid w:val="00E65AD5"/>
    <w:rsid w:val="00E666C4"/>
    <w:rsid w:val="00E66896"/>
    <w:rsid w:val="00E70EF0"/>
    <w:rsid w:val="00E71215"/>
    <w:rsid w:val="00E7180F"/>
    <w:rsid w:val="00E71EA2"/>
    <w:rsid w:val="00E7351A"/>
    <w:rsid w:val="00E82985"/>
    <w:rsid w:val="00E84676"/>
    <w:rsid w:val="00E866CF"/>
    <w:rsid w:val="00E93AD3"/>
    <w:rsid w:val="00E94B29"/>
    <w:rsid w:val="00E962B8"/>
    <w:rsid w:val="00EA2CF8"/>
    <w:rsid w:val="00EA5092"/>
    <w:rsid w:val="00EB1BFC"/>
    <w:rsid w:val="00EB2140"/>
    <w:rsid w:val="00EB2334"/>
    <w:rsid w:val="00EB2936"/>
    <w:rsid w:val="00EB388F"/>
    <w:rsid w:val="00EB4D0E"/>
    <w:rsid w:val="00EB6A87"/>
    <w:rsid w:val="00EB785E"/>
    <w:rsid w:val="00EC1DBC"/>
    <w:rsid w:val="00EC28B8"/>
    <w:rsid w:val="00EC6EF6"/>
    <w:rsid w:val="00ED0FE4"/>
    <w:rsid w:val="00ED2659"/>
    <w:rsid w:val="00ED2904"/>
    <w:rsid w:val="00ED3F64"/>
    <w:rsid w:val="00ED7B0C"/>
    <w:rsid w:val="00EE1EB6"/>
    <w:rsid w:val="00EE1FA3"/>
    <w:rsid w:val="00EE25C6"/>
    <w:rsid w:val="00EE293D"/>
    <w:rsid w:val="00EE2B52"/>
    <w:rsid w:val="00EE6A92"/>
    <w:rsid w:val="00EE73D1"/>
    <w:rsid w:val="00EE7B1C"/>
    <w:rsid w:val="00EF2A51"/>
    <w:rsid w:val="00F0374E"/>
    <w:rsid w:val="00F11153"/>
    <w:rsid w:val="00F11B33"/>
    <w:rsid w:val="00F1520E"/>
    <w:rsid w:val="00F15A8D"/>
    <w:rsid w:val="00F15B5B"/>
    <w:rsid w:val="00F16112"/>
    <w:rsid w:val="00F1630F"/>
    <w:rsid w:val="00F17D85"/>
    <w:rsid w:val="00F2063F"/>
    <w:rsid w:val="00F2280C"/>
    <w:rsid w:val="00F25A55"/>
    <w:rsid w:val="00F30139"/>
    <w:rsid w:val="00F3499A"/>
    <w:rsid w:val="00F40D00"/>
    <w:rsid w:val="00F42194"/>
    <w:rsid w:val="00F44E75"/>
    <w:rsid w:val="00F47F21"/>
    <w:rsid w:val="00F51800"/>
    <w:rsid w:val="00F523F0"/>
    <w:rsid w:val="00F52921"/>
    <w:rsid w:val="00F53788"/>
    <w:rsid w:val="00F55C1B"/>
    <w:rsid w:val="00F63868"/>
    <w:rsid w:val="00F65A87"/>
    <w:rsid w:val="00F6692E"/>
    <w:rsid w:val="00F67469"/>
    <w:rsid w:val="00F72FE0"/>
    <w:rsid w:val="00F748CC"/>
    <w:rsid w:val="00F75C24"/>
    <w:rsid w:val="00F8218C"/>
    <w:rsid w:val="00F833ED"/>
    <w:rsid w:val="00F87150"/>
    <w:rsid w:val="00F918E3"/>
    <w:rsid w:val="00F91E98"/>
    <w:rsid w:val="00F938F3"/>
    <w:rsid w:val="00F93F02"/>
    <w:rsid w:val="00FA02DB"/>
    <w:rsid w:val="00FA1B39"/>
    <w:rsid w:val="00FA4A73"/>
    <w:rsid w:val="00FA58B1"/>
    <w:rsid w:val="00FA6014"/>
    <w:rsid w:val="00FA7B53"/>
    <w:rsid w:val="00FB022A"/>
    <w:rsid w:val="00FB1B1C"/>
    <w:rsid w:val="00FC0A50"/>
    <w:rsid w:val="00FC0C22"/>
    <w:rsid w:val="00FC1763"/>
    <w:rsid w:val="00FC3F25"/>
    <w:rsid w:val="00FC7A0E"/>
    <w:rsid w:val="00FC7C72"/>
    <w:rsid w:val="00FD2304"/>
    <w:rsid w:val="00FD3429"/>
    <w:rsid w:val="00FD4E22"/>
    <w:rsid w:val="00FD5EEA"/>
    <w:rsid w:val="00FD699E"/>
    <w:rsid w:val="00FD707F"/>
    <w:rsid w:val="00FE0EBA"/>
    <w:rsid w:val="00FE162E"/>
    <w:rsid w:val="00FE187B"/>
    <w:rsid w:val="00FE2023"/>
    <w:rsid w:val="00FE6F41"/>
    <w:rsid w:val="00FE70F2"/>
    <w:rsid w:val="00FF0957"/>
    <w:rsid w:val="00FF0AFA"/>
    <w:rsid w:val="00FF104C"/>
    <w:rsid w:val="00FF296E"/>
    <w:rsid w:val="00FF367A"/>
    <w:rsid w:val="00FF44F6"/>
    <w:rsid w:val="00FF4FAF"/>
    <w:rsid w:val="00FF5955"/>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1E1B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64C05"/>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400AEF"/>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400AEF"/>
    <w:rPr>
      <w:rFonts w:ascii="Tahoma" w:hAnsi="Tahoma" w:cs="Tahoma"/>
      <w:sz w:val="16"/>
      <w:szCs w:val="16"/>
    </w:rPr>
  </w:style>
  <w:style w:type="character" w:styleId="Marquedecommentaire">
    <w:name w:val="annotation reference"/>
    <w:basedOn w:val="Policepardfaut"/>
    <w:unhideWhenUsed/>
    <w:qFormat/>
    <w:rsid w:val="00ED7B0C"/>
    <w:rPr>
      <w:sz w:val="16"/>
      <w:szCs w:val="16"/>
    </w:rPr>
  </w:style>
  <w:style w:type="paragraph" w:styleId="Commentaire">
    <w:name w:val="annotation text"/>
    <w:aliases w:val="Char11"/>
    <w:basedOn w:val="Normal"/>
    <w:link w:val="CommentaireCar"/>
    <w:unhideWhenUsed/>
    <w:qFormat/>
    <w:rsid w:val="00ED7B0C"/>
    <w:pPr>
      <w:spacing w:line="240" w:lineRule="auto"/>
    </w:pPr>
    <w:rPr>
      <w:sz w:val="20"/>
      <w:szCs w:val="20"/>
    </w:rPr>
  </w:style>
  <w:style w:type="character" w:customStyle="1" w:styleId="CommentaireCar">
    <w:name w:val="Commentaire Car"/>
    <w:aliases w:val="Char11 Car"/>
    <w:basedOn w:val="Policepardfaut"/>
    <w:link w:val="Commentaire"/>
    <w:qFormat/>
    <w:rsid w:val="00ED7B0C"/>
    <w:rPr>
      <w:sz w:val="20"/>
      <w:szCs w:val="20"/>
    </w:rPr>
  </w:style>
  <w:style w:type="paragraph" w:styleId="Objetducommentaire">
    <w:name w:val="annotation subject"/>
    <w:basedOn w:val="Commentaire"/>
    <w:next w:val="Commentaire"/>
    <w:link w:val="ObjetducommentaireCar"/>
    <w:uiPriority w:val="99"/>
    <w:semiHidden/>
    <w:unhideWhenUsed/>
    <w:rsid w:val="00ED7B0C"/>
    <w:rPr>
      <w:b/>
      <w:bCs/>
    </w:rPr>
  </w:style>
  <w:style w:type="character" w:customStyle="1" w:styleId="ObjetducommentaireCar">
    <w:name w:val="Objet du commentaire Car"/>
    <w:basedOn w:val="CommentaireCar"/>
    <w:link w:val="Objetducommentaire"/>
    <w:uiPriority w:val="99"/>
    <w:semiHidden/>
    <w:rsid w:val="00ED7B0C"/>
    <w:rPr>
      <w:b/>
      <w:bCs/>
      <w:sz w:val="20"/>
      <w:szCs w:val="20"/>
    </w:rPr>
  </w:style>
  <w:style w:type="character" w:customStyle="1" w:styleId="tlid-translation">
    <w:name w:val="tlid-translation"/>
    <w:basedOn w:val="Policepardfaut"/>
    <w:rsid w:val="00E71215"/>
  </w:style>
  <w:style w:type="character" w:styleId="Lienhypertexte">
    <w:name w:val="Hyperlink"/>
    <w:basedOn w:val="Policepardfaut"/>
    <w:uiPriority w:val="99"/>
    <w:unhideWhenUsed/>
    <w:qFormat/>
    <w:rsid w:val="00E71215"/>
    <w:rPr>
      <w:color w:val="0000FF" w:themeColor="hyperlink"/>
      <w:u w:val="single"/>
    </w:rPr>
  </w:style>
  <w:style w:type="paragraph" w:styleId="Paragraphedeliste">
    <w:name w:val="List Paragraph"/>
    <w:basedOn w:val="Normal"/>
    <w:uiPriority w:val="34"/>
    <w:qFormat/>
    <w:rsid w:val="00FE70F2"/>
    <w:pPr>
      <w:ind w:left="720"/>
      <w:contextualSpacing/>
    </w:pPr>
  </w:style>
  <w:style w:type="character" w:styleId="Lienhypertextesuivivisit">
    <w:name w:val="FollowedHyperlink"/>
    <w:basedOn w:val="Policepardfaut"/>
    <w:uiPriority w:val="99"/>
    <w:semiHidden/>
    <w:unhideWhenUsed/>
    <w:rsid w:val="00CF651E"/>
    <w:rPr>
      <w:color w:val="800080" w:themeColor="followedHyperlink"/>
      <w:u w:val="single"/>
    </w:rPr>
  </w:style>
  <w:style w:type="paragraph" w:customStyle="1" w:styleId="MDPI12title">
    <w:name w:val="MDPI_1.2_title"/>
    <w:next w:val="Normal"/>
    <w:qFormat/>
    <w:rsid w:val="008B28B6"/>
    <w:pPr>
      <w:adjustRightInd w:val="0"/>
      <w:snapToGrid w:val="0"/>
      <w:spacing w:after="240" w:line="240" w:lineRule="atLeast"/>
    </w:pPr>
    <w:rPr>
      <w:rFonts w:ascii="Palatino Linotype" w:eastAsia="Times New Roman" w:hAnsi="Palatino Linotype" w:cs="Times New Roman"/>
      <w:b/>
      <w:snapToGrid w:val="0"/>
      <w:color w:val="000000"/>
      <w:sz w:val="36"/>
      <w:szCs w:val="20"/>
      <w:lang w:val="en-US" w:eastAsia="de-DE" w:bidi="en-US"/>
    </w:rPr>
  </w:style>
  <w:style w:type="paragraph" w:customStyle="1" w:styleId="MDPI13authornames">
    <w:name w:val="MDPI_1.3_authornames"/>
    <w:next w:val="Normal"/>
    <w:qFormat/>
    <w:rsid w:val="008B28B6"/>
    <w:pPr>
      <w:adjustRightInd w:val="0"/>
      <w:snapToGrid w:val="0"/>
      <w:spacing w:after="360" w:line="260" w:lineRule="atLeast"/>
    </w:pPr>
    <w:rPr>
      <w:rFonts w:ascii="Palatino Linotype" w:eastAsia="Times New Roman" w:hAnsi="Palatino Linotype" w:cs="Times New Roman"/>
      <w:b/>
      <w:color w:val="000000"/>
      <w:sz w:val="20"/>
      <w:lang w:val="en-US" w:eastAsia="de-DE" w:bidi="en-US"/>
    </w:rPr>
  </w:style>
  <w:style w:type="paragraph" w:customStyle="1" w:styleId="MDPI16affiliation">
    <w:name w:val="MDPI_1.6_affiliation"/>
    <w:qFormat/>
    <w:rsid w:val="008B28B6"/>
    <w:pPr>
      <w:adjustRightInd w:val="0"/>
      <w:snapToGrid w:val="0"/>
      <w:spacing w:after="0" w:line="200" w:lineRule="atLeast"/>
      <w:ind w:left="2806" w:hanging="198"/>
    </w:pPr>
    <w:rPr>
      <w:rFonts w:ascii="Palatino Linotype" w:eastAsia="Times New Roman" w:hAnsi="Palatino Linotype" w:cs="Times New Roman"/>
      <w:color w:val="000000"/>
      <w:sz w:val="16"/>
      <w:szCs w:val="18"/>
      <w:lang w:val="en-US" w:eastAsia="de-DE" w:bidi="en-US"/>
    </w:rPr>
  </w:style>
  <w:style w:type="paragraph" w:customStyle="1" w:styleId="Default">
    <w:name w:val="Default"/>
    <w:rsid w:val="00DC30F8"/>
    <w:pPr>
      <w:autoSpaceDE w:val="0"/>
      <w:autoSpaceDN w:val="0"/>
      <w:adjustRightInd w:val="0"/>
      <w:spacing w:after="0" w:line="240" w:lineRule="auto"/>
    </w:pPr>
    <w:rPr>
      <w:rFonts w:ascii="Calibri" w:hAnsi="Calibri" w:cs="Calibri"/>
      <w:color w:val="000000"/>
      <w:sz w:val="24"/>
      <w:szCs w:val="24"/>
    </w:rPr>
  </w:style>
  <w:style w:type="character" w:styleId="Textedelespacerserv">
    <w:name w:val="Placeholder Text"/>
    <w:basedOn w:val="Policepardfaut"/>
    <w:uiPriority w:val="99"/>
    <w:semiHidden/>
    <w:rsid w:val="005126F8"/>
    <w:rPr>
      <w:color w:val="808080"/>
    </w:rPr>
  </w:style>
  <w:style w:type="paragraph" w:styleId="En-tte">
    <w:name w:val="header"/>
    <w:basedOn w:val="Normal"/>
    <w:link w:val="En-tteCar"/>
    <w:uiPriority w:val="99"/>
    <w:unhideWhenUsed/>
    <w:rsid w:val="00B23629"/>
    <w:pPr>
      <w:tabs>
        <w:tab w:val="center" w:pos="4536"/>
        <w:tab w:val="right" w:pos="9072"/>
      </w:tabs>
      <w:spacing w:after="0" w:line="240" w:lineRule="auto"/>
    </w:pPr>
  </w:style>
  <w:style w:type="character" w:customStyle="1" w:styleId="En-tteCar">
    <w:name w:val="En-tête Car"/>
    <w:basedOn w:val="Policepardfaut"/>
    <w:link w:val="En-tte"/>
    <w:uiPriority w:val="99"/>
    <w:rsid w:val="00B23629"/>
  </w:style>
  <w:style w:type="paragraph" w:styleId="Pieddepage">
    <w:name w:val="footer"/>
    <w:basedOn w:val="Normal"/>
    <w:link w:val="PieddepageCar"/>
    <w:uiPriority w:val="99"/>
    <w:unhideWhenUsed/>
    <w:rsid w:val="00B23629"/>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B23629"/>
  </w:style>
  <w:style w:type="table" w:styleId="Grilledutableau">
    <w:name w:val="Table Grid"/>
    <w:basedOn w:val="TableauNormal"/>
    <w:uiPriority w:val="59"/>
    <w:rsid w:val="003431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7169417">
      <w:bodyDiv w:val="1"/>
      <w:marLeft w:val="0"/>
      <w:marRight w:val="0"/>
      <w:marTop w:val="0"/>
      <w:marBottom w:val="0"/>
      <w:divBdr>
        <w:top w:val="none" w:sz="0" w:space="0" w:color="auto"/>
        <w:left w:val="none" w:sz="0" w:space="0" w:color="auto"/>
        <w:bottom w:val="none" w:sz="0" w:space="0" w:color="auto"/>
        <w:right w:val="none" w:sz="0" w:space="0" w:color="auto"/>
      </w:divBdr>
    </w:div>
    <w:div w:id="147984518">
      <w:bodyDiv w:val="1"/>
      <w:marLeft w:val="0"/>
      <w:marRight w:val="0"/>
      <w:marTop w:val="0"/>
      <w:marBottom w:val="0"/>
      <w:divBdr>
        <w:top w:val="none" w:sz="0" w:space="0" w:color="auto"/>
        <w:left w:val="none" w:sz="0" w:space="0" w:color="auto"/>
        <w:bottom w:val="none" w:sz="0" w:space="0" w:color="auto"/>
        <w:right w:val="none" w:sz="0" w:space="0" w:color="auto"/>
      </w:divBdr>
    </w:div>
    <w:div w:id="160241555">
      <w:bodyDiv w:val="1"/>
      <w:marLeft w:val="0"/>
      <w:marRight w:val="0"/>
      <w:marTop w:val="0"/>
      <w:marBottom w:val="0"/>
      <w:divBdr>
        <w:top w:val="none" w:sz="0" w:space="0" w:color="auto"/>
        <w:left w:val="none" w:sz="0" w:space="0" w:color="auto"/>
        <w:bottom w:val="none" w:sz="0" w:space="0" w:color="auto"/>
        <w:right w:val="none" w:sz="0" w:space="0" w:color="auto"/>
      </w:divBdr>
    </w:div>
    <w:div w:id="201288691">
      <w:bodyDiv w:val="1"/>
      <w:marLeft w:val="0"/>
      <w:marRight w:val="0"/>
      <w:marTop w:val="0"/>
      <w:marBottom w:val="0"/>
      <w:divBdr>
        <w:top w:val="none" w:sz="0" w:space="0" w:color="auto"/>
        <w:left w:val="none" w:sz="0" w:space="0" w:color="auto"/>
        <w:bottom w:val="none" w:sz="0" w:space="0" w:color="auto"/>
        <w:right w:val="none" w:sz="0" w:space="0" w:color="auto"/>
      </w:divBdr>
    </w:div>
    <w:div w:id="234633899">
      <w:bodyDiv w:val="1"/>
      <w:marLeft w:val="0"/>
      <w:marRight w:val="0"/>
      <w:marTop w:val="0"/>
      <w:marBottom w:val="0"/>
      <w:divBdr>
        <w:top w:val="none" w:sz="0" w:space="0" w:color="auto"/>
        <w:left w:val="none" w:sz="0" w:space="0" w:color="auto"/>
        <w:bottom w:val="none" w:sz="0" w:space="0" w:color="auto"/>
        <w:right w:val="none" w:sz="0" w:space="0" w:color="auto"/>
      </w:divBdr>
    </w:div>
    <w:div w:id="323557050">
      <w:bodyDiv w:val="1"/>
      <w:marLeft w:val="0"/>
      <w:marRight w:val="0"/>
      <w:marTop w:val="0"/>
      <w:marBottom w:val="0"/>
      <w:divBdr>
        <w:top w:val="none" w:sz="0" w:space="0" w:color="auto"/>
        <w:left w:val="none" w:sz="0" w:space="0" w:color="auto"/>
        <w:bottom w:val="none" w:sz="0" w:space="0" w:color="auto"/>
        <w:right w:val="none" w:sz="0" w:space="0" w:color="auto"/>
      </w:divBdr>
    </w:div>
    <w:div w:id="348021233">
      <w:bodyDiv w:val="1"/>
      <w:marLeft w:val="0"/>
      <w:marRight w:val="0"/>
      <w:marTop w:val="0"/>
      <w:marBottom w:val="0"/>
      <w:divBdr>
        <w:top w:val="none" w:sz="0" w:space="0" w:color="auto"/>
        <w:left w:val="none" w:sz="0" w:space="0" w:color="auto"/>
        <w:bottom w:val="none" w:sz="0" w:space="0" w:color="auto"/>
        <w:right w:val="none" w:sz="0" w:space="0" w:color="auto"/>
      </w:divBdr>
    </w:div>
    <w:div w:id="390495568">
      <w:bodyDiv w:val="1"/>
      <w:marLeft w:val="0"/>
      <w:marRight w:val="0"/>
      <w:marTop w:val="0"/>
      <w:marBottom w:val="0"/>
      <w:divBdr>
        <w:top w:val="none" w:sz="0" w:space="0" w:color="auto"/>
        <w:left w:val="none" w:sz="0" w:space="0" w:color="auto"/>
        <w:bottom w:val="none" w:sz="0" w:space="0" w:color="auto"/>
        <w:right w:val="none" w:sz="0" w:space="0" w:color="auto"/>
      </w:divBdr>
    </w:div>
    <w:div w:id="402945516">
      <w:bodyDiv w:val="1"/>
      <w:marLeft w:val="0"/>
      <w:marRight w:val="0"/>
      <w:marTop w:val="0"/>
      <w:marBottom w:val="0"/>
      <w:divBdr>
        <w:top w:val="none" w:sz="0" w:space="0" w:color="auto"/>
        <w:left w:val="none" w:sz="0" w:space="0" w:color="auto"/>
        <w:bottom w:val="none" w:sz="0" w:space="0" w:color="auto"/>
        <w:right w:val="none" w:sz="0" w:space="0" w:color="auto"/>
      </w:divBdr>
    </w:div>
    <w:div w:id="476149298">
      <w:bodyDiv w:val="1"/>
      <w:marLeft w:val="0"/>
      <w:marRight w:val="0"/>
      <w:marTop w:val="0"/>
      <w:marBottom w:val="0"/>
      <w:divBdr>
        <w:top w:val="none" w:sz="0" w:space="0" w:color="auto"/>
        <w:left w:val="none" w:sz="0" w:space="0" w:color="auto"/>
        <w:bottom w:val="none" w:sz="0" w:space="0" w:color="auto"/>
        <w:right w:val="none" w:sz="0" w:space="0" w:color="auto"/>
      </w:divBdr>
      <w:divsChild>
        <w:div w:id="1648780012">
          <w:marLeft w:val="0"/>
          <w:marRight w:val="0"/>
          <w:marTop w:val="0"/>
          <w:marBottom w:val="0"/>
          <w:divBdr>
            <w:top w:val="none" w:sz="0" w:space="0" w:color="auto"/>
            <w:left w:val="none" w:sz="0" w:space="0" w:color="auto"/>
            <w:bottom w:val="none" w:sz="0" w:space="0" w:color="auto"/>
            <w:right w:val="none" w:sz="0" w:space="0" w:color="auto"/>
          </w:divBdr>
          <w:divsChild>
            <w:div w:id="187565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9997890">
      <w:bodyDiv w:val="1"/>
      <w:marLeft w:val="0"/>
      <w:marRight w:val="0"/>
      <w:marTop w:val="0"/>
      <w:marBottom w:val="0"/>
      <w:divBdr>
        <w:top w:val="none" w:sz="0" w:space="0" w:color="auto"/>
        <w:left w:val="none" w:sz="0" w:space="0" w:color="auto"/>
        <w:bottom w:val="none" w:sz="0" w:space="0" w:color="auto"/>
        <w:right w:val="none" w:sz="0" w:space="0" w:color="auto"/>
      </w:divBdr>
    </w:div>
    <w:div w:id="734863473">
      <w:bodyDiv w:val="1"/>
      <w:marLeft w:val="0"/>
      <w:marRight w:val="0"/>
      <w:marTop w:val="0"/>
      <w:marBottom w:val="0"/>
      <w:divBdr>
        <w:top w:val="none" w:sz="0" w:space="0" w:color="auto"/>
        <w:left w:val="none" w:sz="0" w:space="0" w:color="auto"/>
        <w:bottom w:val="none" w:sz="0" w:space="0" w:color="auto"/>
        <w:right w:val="none" w:sz="0" w:space="0" w:color="auto"/>
      </w:divBdr>
    </w:div>
    <w:div w:id="862211644">
      <w:bodyDiv w:val="1"/>
      <w:marLeft w:val="0"/>
      <w:marRight w:val="0"/>
      <w:marTop w:val="0"/>
      <w:marBottom w:val="0"/>
      <w:divBdr>
        <w:top w:val="none" w:sz="0" w:space="0" w:color="auto"/>
        <w:left w:val="none" w:sz="0" w:space="0" w:color="auto"/>
        <w:bottom w:val="none" w:sz="0" w:space="0" w:color="auto"/>
        <w:right w:val="none" w:sz="0" w:space="0" w:color="auto"/>
      </w:divBdr>
    </w:div>
    <w:div w:id="1156606623">
      <w:bodyDiv w:val="1"/>
      <w:marLeft w:val="0"/>
      <w:marRight w:val="0"/>
      <w:marTop w:val="0"/>
      <w:marBottom w:val="0"/>
      <w:divBdr>
        <w:top w:val="none" w:sz="0" w:space="0" w:color="auto"/>
        <w:left w:val="none" w:sz="0" w:space="0" w:color="auto"/>
        <w:bottom w:val="none" w:sz="0" w:space="0" w:color="auto"/>
        <w:right w:val="none" w:sz="0" w:space="0" w:color="auto"/>
      </w:divBdr>
    </w:div>
    <w:div w:id="1181972777">
      <w:bodyDiv w:val="1"/>
      <w:marLeft w:val="0"/>
      <w:marRight w:val="0"/>
      <w:marTop w:val="0"/>
      <w:marBottom w:val="0"/>
      <w:divBdr>
        <w:top w:val="none" w:sz="0" w:space="0" w:color="auto"/>
        <w:left w:val="none" w:sz="0" w:space="0" w:color="auto"/>
        <w:bottom w:val="none" w:sz="0" w:space="0" w:color="auto"/>
        <w:right w:val="none" w:sz="0" w:space="0" w:color="auto"/>
      </w:divBdr>
    </w:div>
    <w:div w:id="1266616393">
      <w:bodyDiv w:val="1"/>
      <w:marLeft w:val="0"/>
      <w:marRight w:val="0"/>
      <w:marTop w:val="0"/>
      <w:marBottom w:val="0"/>
      <w:divBdr>
        <w:top w:val="none" w:sz="0" w:space="0" w:color="auto"/>
        <w:left w:val="none" w:sz="0" w:space="0" w:color="auto"/>
        <w:bottom w:val="none" w:sz="0" w:space="0" w:color="auto"/>
        <w:right w:val="none" w:sz="0" w:space="0" w:color="auto"/>
      </w:divBdr>
    </w:div>
    <w:div w:id="1285963326">
      <w:bodyDiv w:val="1"/>
      <w:marLeft w:val="0"/>
      <w:marRight w:val="0"/>
      <w:marTop w:val="0"/>
      <w:marBottom w:val="0"/>
      <w:divBdr>
        <w:top w:val="none" w:sz="0" w:space="0" w:color="auto"/>
        <w:left w:val="none" w:sz="0" w:space="0" w:color="auto"/>
        <w:bottom w:val="none" w:sz="0" w:space="0" w:color="auto"/>
        <w:right w:val="none" w:sz="0" w:space="0" w:color="auto"/>
      </w:divBdr>
    </w:div>
    <w:div w:id="1456555459">
      <w:bodyDiv w:val="1"/>
      <w:marLeft w:val="0"/>
      <w:marRight w:val="0"/>
      <w:marTop w:val="0"/>
      <w:marBottom w:val="0"/>
      <w:divBdr>
        <w:top w:val="none" w:sz="0" w:space="0" w:color="auto"/>
        <w:left w:val="none" w:sz="0" w:space="0" w:color="auto"/>
        <w:bottom w:val="none" w:sz="0" w:space="0" w:color="auto"/>
        <w:right w:val="none" w:sz="0" w:space="0" w:color="auto"/>
      </w:divBdr>
    </w:div>
    <w:div w:id="1478767312">
      <w:bodyDiv w:val="1"/>
      <w:marLeft w:val="0"/>
      <w:marRight w:val="0"/>
      <w:marTop w:val="0"/>
      <w:marBottom w:val="0"/>
      <w:divBdr>
        <w:top w:val="none" w:sz="0" w:space="0" w:color="auto"/>
        <w:left w:val="none" w:sz="0" w:space="0" w:color="auto"/>
        <w:bottom w:val="none" w:sz="0" w:space="0" w:color="auto"/>
        <w:right w:val="none" w:sz="0" w:space="0" w:color="auto"/>
      </w:divBdr>
    </w:div>
    <w:div w:id="1517498382">
      <w:bodyDiv w:val="1"/>
      <w:marLeft w:val="0"/>
      <w:marRight w:val="0"/>
      <w:marTop w:val="0"/>
      <w:marBottom w:val="0"/>
      <w:divBdr>
        <w:top w:val="none" w:sz="0" w:space="0" w:color="auto"/>
        <w:left w:val="none" w:sz="0" w:space="0" w:color="auto"/>
        <w:bottom w:val="none" w:sz="0" w:space="0" w:color="auto"/>
        <w:right w:val="none" w:sz="0" w:space="0" w:color="auto"/>
      </w:divBdr>
    </w:div>
    <w:div w:id="1533231168">
      <w:bodyDiv w:val="1"/>
      <w:marLeft w:val="0"/>
      <w:marRight w:val="0"/>
      <w:marTop w:val="0"/>
      <w:marBottom w:val="0"/>
      <w:divBdr>
        <w:top w:val="none" w:sz="0" w:space="0" w:color="auto"/>
        <w:left w:val="none" w:sz="0" w:space="0" w:color="auto"/>
        <w:bottom w:val="none" w:sz="0" w:space="0" w:color="auto"/>
        <w:right w:val="none" w:sz="0" w:space="0" w:color="auto"/>
      </w:divBdr>
    </w:div>
    <w:div w:id="1583641360">
      <w:bodyDiv w:val="1"/>
      <w:marLeft w:val="0"/>
      <w:marRight w:val="0"/>
      <w:marTop w:val="0"/>
      <w:marBottom w:val="0"/>
      <w:divBdr>
        <w:top w:val="none" w:sz="0" w:space="0" w:color="auto"/>
        <w:left w:val="none" w:sz="0" w:space="0" w:color="auto"/>
        <w:bottom w:val="none" w:sz="0" w:space="0" w:color="auto"/>
        <w:right w:val="none" w:sz="0" w:space="0" w:color="auto"/>
      </w:divBdr>
    </w:div>
    <w:div w:id="1742680821">
      <w:bodyDiv w:val="1"/>
      <w:marLeft w:val="0"/>
      <w:marRight w:val="0"/>
      <w:marTop w:val="0"/>
      <w:marBottom w:val="0"/>
      <w:divBdr>
        <w:top w:val="none" w:sz="0" w:space="0" w:color="auto"/>
        <w:left w:val="none" w:sz="0" w:space="0" w:color="auto"/>
        <w:bottom w:val="none" w:sz="0" w:space="0" w:color="auto"/>
        <w:right w:val="none" w:sz="0" w:space="0" w:color="auto"/>
      </w:divBdr>
    </w:div>
    <w:div w:id="1789936145">
      <w:bodyDiv w:val="1"/>
      <w:marLeft w:val="0"/>
      <w:marRight w:val="0"/>
      <w:marTop w:val="0"/>
      <w:marBottom w:val="0"/>
      <w:divBdr>
        <w:top w:val="none" w:sz="0" w:space="0" w:color="auto"/>
        <w:left w:val="none" w:sz="0" w:space="0" w:color="auto"/>
        <w:bottom w:val="none" w:sz="0" w:space="0" w:color="auto"/>
        <w:right w:val="none" w:sz="0" w:space="0" w:color="auto"/>
      </w:divBdr>
    </w:div>
    <w:div w:id="1843229635">
      <w:bodyDiv w:val="1"/>
      <w:marLeft w:val="0"/>
      <w:marRight w:val="0"/>
      <w:marTop w:val="0"/>
      <w:marBottom w:val="0"/>
      <w:divBdr>
        <w:top w:val="none" w:sz="0" w:space="0" w:color="auto"/>
        <w:left w:val="none" w:sz="0" w:space="0" w:color="auto"/>
        <w:bottom w:val="none" w:sz="0" w:space="0" w:color="auto"/>
        <w:right w:val="none" w:sz="0" w:space="0" w:color="auto"/>
      </w:divBdr>
    </w:div>
    <w:div w:id="2122258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chael.staudt@cefe.cnrs.fr" TargetMode="External"/><Relationship Id="rId13" Type="http://schemas.openxmlformats.org/officeDocument/2006/relationships/footer" Target="footer1.xml"/><Relationship Id="rId18" Type="http://schemas.openxmlformats.org/officeDocument/2006/relationships/hyperlink" Target="https://puechabon.cefe.cnrs.fr/"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image" Target="media/image2.emf"/><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6.xml"/><Relationship Id="rId10" Type="http://schemas.openxmlformats.org/officeDocument/2006/relationships/image" Target="media/image1.png"/><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yperlink" Target="https://puechabon.cefe.cnrs.fr/" TargetMode="External"/><Relationship Id="rId14" Type="http://schemas.openxmlformats.org/officeDocument/2006/relationships/footer" Target="footer2.xml"/><Relationship Id="rId22" Type="http://schemas.openxmlformats.org/officeDocument/2006/relationships/footer" Target="footer5.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EA9C96-D8CF-4A4E-B47B-9BD81F6F34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1841</Words>
  <Characters>10127</Characters>
  <Application>Microsoft Office Word</Application>
  <DocSecurity>0</DocSecurity>
  <Lines>84</Lines>
  <Paragraphs>23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11945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2022-10-10T11:08:00Z</dcterms:created>
  <dcterms:modified xsi:type="dcterms:W3CDTF">2022-10-10T11:08:00Z</dcterms:modified>
</cp:coreProperties>
</file>